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2A.404/2000 vom 13. November 2000</w:t>
      </w:r>
    </w:p>
    <w:p>
      <w:r>
        <w:t>Bundesgericht, 2000-11-13, DE</w:t>
      </w:r>
    </w:p>
    <w:p>
      <w:r>
        <w:rPr>
          <w:b/>
        </w:rPr>
        <w:t xml:space="preserve">Quelle: </w:t>
      </w:r>
      <w:r>
        <w:t>https://mcp.opencaselaw.ch/entscheid/bger_2A.404_2000</w:t>
      </w:r>
    </w:p>
    <w:p>
      <w:r>
        <w:t>FR: TF 2A.404/2000 du 13 novembre 2000</w:t>
      </w:r>
    </w:p>
    <w:p>
      <w:r>
        <w:t>IT: TF 2A.404/2000 del 13 novembre 2000</w:t>
      </w:r>
    </w:p>
    <w:p>
      <w:pPr>
        <w:pStyle w:val="Heading2"/>
      </w:pPr>
      <w:r>
        <w:t>Regeste</w:t>
      </w:r>
    </w:p>
    <w:p>
      <w:r>
        <w:t>Bürgerrecht und Ausländerrecht</w:t>
      </w:r>
    </w:p>
    <w:p>
      <w:pPr>
        <w:pStyle w:val="Heading2"/>
      </w:pPr>
      <w:r>
        <w:t>Erwägungen</w:t>
      </w:r>
    </w:p>
    <w:p>
      <w:r>
        <w:rPr>
          <w:b/>
        </w:rPr>
        <w:t>E. 1</w:t>
      </w:r>
    </w:p>
    <w:p>
      <w:r>
        <w:t>a) Gegen die sich auf Art. 10 des Bundesgesetzes vom 26. März 1931 über Aufenthalt und Niederlassung der Ausländer (ANAG; SR 142. 20) stützende Ausweisungsverfügung ist die Verwaltungsgerichtsbeschwerde zulässig (Art. 100 Abs. 1 lit. b Ziff. 4 OG e contrario; BGE 114 Ib E. 1a S. 2). b) Art. 100 Abs. 1 lit. b Ziff. 3 OG schliesst die Verwaltungsgerichtsbeschwerde aus gegen die Erteilung oder Verweigerung von fremdenpolizeilichen Bewilligungen, auf die das Bundesrecht keinen Anspruch einräumt. Die Beschwerdeführerin hat aufgrund von Art. 17 Abs. 2 ANAG grundsätzlich einen Anspruch auf Aufenthalt in der Schweiz; zudem hat sie ein schutzwürdiges Interesse an der Anfechtung der Ausweisung ihres Ehemannes (vgl. Art. 103 lit. a OG ). Damit ist auch auf ihre Beschwerde einzutreten.</w:t>
      </w:r>
    </w:p>
    <w:p>
      <w:r>
        <w:rPr>
          <w:b/>
        </w:rPr>
        <w:t>E. 2</w:t>
      </w:r>
    </w:p>
    <w:p>
      <w:r>
        <w:t>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Die Frage, ob die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BGE 116 Ib 353 E. 2b) der Ausweisung - an die Stelle desjenigen der zuständigen kantonalen Behörde zu setzen ( BGE 125 II 105 E. 2a S. 107, mit Hinweisen).</w:t>
      </w:r>
    </w:p>
    <w:p>
      <w:r>
        <w:rPr>
          <w:b/>
        </w:rPr>
        <w:t>E. 3</w:t>
      </w:r>
    </w:p>
    <w:p>
      <w:r>
        <w:t>a)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nicht ausgeschlossen. Erst recht gilt dies für Ausländer, die - wie der Beschwerdeführer - erst als Kind oder Jugendlicher in die Schweiz gelangt sind ( BGE 125 II 521 E. 2b S. 523 f., mit Hinweisen). Die Ausweisung ist im Übrigen eher zulässig, wenn der Ausländer, obwohl er seit längerer Zeit in der Schweiz wohnt, sich nicht integriert hat, hauptsächlich mit Landsleuten zusammen ist und enge Beziehungen zu seinem Heimatland pflegt sowie dessen Sprache spricht (vgl. Alain Wurzburger, La jurisprudence récente du Tribunal fédéral en matière de police des étrangers, in RDAF 53/1997, S. 314, mit Hinweisen). Bei schweren Straftaten, insbesondere bei Gewalt-, Sexual- und schweren Betäubungsmitteldelikten, besteht ein wesentliches öffentliches Interesse an einer Ausweisung ( BGE 122 II 433 E. 2c S. 436). b) Die vom Beschwerdeführer begangenen Straftaten wiegen schwer: Er hat mehrmals mit seiner damals noch nicht 16-jährigen Cousine den Geschlechtsverkehr vollzogen; beim ersten Mal war diese erst zwölfeinhalb Jahre alt. Es ist ihm zwar zugute zu halten, dass er vom Vorwurf der Vergewaltigung freigesprochen worden ist, weil das Gericht zum Schluss gekommen war, dass der durch Geldangebote an die Cousine ausgeübte Zwang nicht ausreichte, um den Tatbestand der Vergewaltigung zu erfüllen. Dies ändert aber nichts daran, dass sexuelle Handlungen mit einem Kind als schwere Straftat zu werten sind. Nicht zu hören ist das Argument des Beschwerdeführers, dass er die öffentliche Sicherheit nicht gefährde, da die betreffenden Übergriffe sich im privaten Bereich abgespielt hätten. Art. 10 ANAG verlangt für die Ausweisung nämlich nicht, dass die öffentliche Sicherheit gefährdet ist. Die Beschwerdeführer können sich im vorliegenden Fall auch nicht auf Art. 8 EMRK berufen, denn die Ausweisung des Beschwerdeführers hat die Nichtverlängerung der Aufenthaltsbewilligung seiner Ehefrau zur Folge (s. E. 4 unten); damit aber wird durch die Ausweisung das Ehepaar nicht auseinandergerissen, und ein Eingriff in das durch Art. 8 Ziff. 1 EMRK geschützte Rechtsgut (hier: Familienleben) liegt gar nicht vor. Im Übrigen wäre ein solcher Eingriff jedenfalls durch Art. 8 Ziff. 2 EMRK gerechtfertigt. Damit besteht ein wesentliches öffentliches Interesse an einer Ausweisung des Beschwerdeführers; dieses überwiegt sein privates Interesse an einem Verbleib in der Schweiz, auch wenn die Trennung von seiner Familie und das Leben in dem im Wiederaufbau befindlichen Kosovo ihm sicher nicht leicht fallen werden.</w:t>
      </w:r>
    </w:p>
    <w:p>
      <w:r>
        <w:rPr>
          <w:b/>
        </w:rPr>
        <w:t>E. 4</w:t>
      </w:r>
    </w:p>
    <w:p>
      <w:r>
        <w:t>Mit der Ausweisung des Beschwerdeführers fällt der Anspruch seiner Ehegattin auf Aufenthalt in der Schweiz dahin; ihr Antrag auf Erteilung einer Aufenthaltsbewilligung ist daher ebenfalls abzuweisen.</w:t>
      </w:r>
    </w:p>
    <w:p>
      <w:r>
        <w:rPr>
          <w:b/>
        </w:rPr>
        <w:t>E. 5</w:t>
      </w:r>
    </w:p>
    <w:p>
      <w:r>
        <w:t>Die Beschwerde ist nach dem Gesagten offensichtlich unbegründet. Es kommt das vereinfachte Verfahren gemäss Art. 36a OG zur Anwendung. Da die Beschwerde von vornherein aussichtslos war, ist das Gesuch um unentgeltliche Rechtspflege und Verbeiständung abzuweisen (vgl. Art. 152 OG ). Bei diesem Verfahrensausgang sind die Gerichtskosten den Beschwerdeführern unter solidarischer Haftung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