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2A.400/2005 vom 19. Dezember 2005</w:t>
      </w:r>
    </w:p>
    <w:p>
      <w:r>
        <w:t>Bundesgericht, 2005-12-19, DE</w:t>
      </w:r>
    </w:p>
    <w:p>
      <w:r>
        <w:rPr>
          <w:b/>
        </w:rPr>
        <w:t xml:space="preserve">Quelle: </w:t>
      </w:r>
      <w:r>
        <w:t>https://mcp.opencaselaw.ch/entscheid/bger_2A.400_2005</w:t>
      </w:r>
    </w:p>
    <w:p>
      <w:r>
        <w:t>FR: TF 2A.400/2005 du 19 décembre 2005</w:t>
      </w:r>
    </w:p>
    <w:p>
      <w:r>
        <w:t>IT: TF 2A.400/2005 del 19 dicembre 2005</w:t>
      </w:r>
    </w:p>
    <w:p>
      <w:pPr>
        <w:pStyle w:val="Heading2"/>
      </w:pPr>
      <w:r>
        <w:t>Erwägungen</w:t>
      </w:r>
    </w:p>
    <w:p>
      <w:r>
        <w:rPr>
          <w:b/>
        </w:rPr>
        <w:t>E. 1.1</w:t>
      </w:r>
    </w:p>
    <w:p>
      <w:r>
        <w:t>Der angefochtene Entscheid des Verwaltungsgerichts ist in einem kantonalen Verfahren ergangen, in welchem im Zusammenhang mit einem öffentlichrechtlichen Dienstverhältnis sich aus dem Bundesgesetz vom 24. März 1995 über die Gleichstellung von Frau und Mann (Gleichstellungsgesetz, GlG; SR 151.1) ergebende Ansprüche auf Lohnnachzahlungen ( Art. 3 und 5 GlG ) geltend gemacht werden. Der letztinstanzliche kantonale Sachentscheid unterliegt damit der Verwaltungsgerichtsbeschwerde an das Bundesgericht ( BGE 124 II 409 E. 1d/ii S. 417).</w:t>
      </w:r>
    </w:p>
    <w:p>
      <w:r>
        <w:rPr>
          <w:b/>
        </w:rPr>
        <w:t>E. 1.2</w:t>
      </w:r>
    </w:p>
    <w:p>
      <w:r>
        <w:t>Das angefochtene Urteil entscheidet einzig über den nach dem anwendbaren kantonalen Verfahrensrecht zur Durchsetzung der in Frage stehenden Lohnnachzahlung einzuschlagenden Rechtsweg (Zulässigkeit der Rechtsverweigerungsbeschwerde, Beschwerde/Klage bzw. Vertrag/Verfügung, Zuständigkeit des Verwaltungsgerichts) sowie über formelle Mängel der überprüften Verfügung (Rechtsmittelbelehrung, Zustellung) und schliesst das kantonale Verfahren nicht ab. Es stellt einerseits fest, dass der Bezirksrat Dielsdorf zu Unrecht das Vorliegen einer anfechtbaren Verfügung des Zweckverbandes Bezirksspitals Dielsdorf verneint habe, und weist andererseits den Bezirksrat an, die Eingabe der Beschwerdeführerin vom 16. Februar 2004 als Rekurs gegen die Verfügung des Zweckverbandes Bezirksspital Dielsdorf vom 26. November 2001 entgegenzunehmen. Es handelt sich damit um einen letztinstanzlichen kantonalen Zwischenentscheid, der sich ausschliesslich auf kantonales Verfahrensrecht stützt.</w:t>
      </w:r>
    </w:p>
    <w:p>
      <w:r>
        <w:t>Nach der bundesgerichtlichen Rechtsprechung ist der Einwand, kantonales Verfahrensrecht sei in bundesverfassungs- oder bundesrechtswidriger Weise angewandt worden, dann mit Verwaltungsgerichtsbeschwerde vorzubringen, wenn der kantonale Entscheid geeignet ist, die richtige Anwendung von Bundesrecht zu vereiteln. Dies ist insbesondere dann der Fall, wenn eine kantonale Rechtsmittelinstanz in einer bundesrechtlichen Materie gestützt auf kantonales Verfahrensrecht auf ein Rechtsmittel nicht eintritt ( BGE 127 II 264 E. 1a, mit Hinweisen).</w:t>
      </w:r>
    </w:p>
    <w:p>
      <w:r>
        <w:t>Im vorliegenden Fall wäre eine solche Konstellation dann gegeben, wenn das Verwaltungsgericht die auf das Gleichstellungsgesetz gestützten streitigen Ansprüche im Sinne der Vorbringen des Beschwerdeführers wegen nicht rechtzeitiger Ergreifung eines Rechtsmittels gegen die Verfügung vom 26. November 2001 als prozessual verwirkt betrachtet hätte. Aufgrund des gegenteilig lautenden angefochtenen Urteils, welches den Bezirksrat anhält, die Eingabe von X.________ vom 16. Februar 2004 als Rekurs zu behandeln, bleibt jedoch die Möglichkeit der korrekten Anwendung des materiellen Bundesrechts auf dem Rechtsmittelweg gerade gewahrt.</w:t>
      </w:r>
    </w:p>
    <w:p>
      <w:r>
        <w:t>Dem als Arbeitgeber betroffenen Zweckverband ist es damit verwehrt, diesen sich ausschliesslich auf kantonales Verfahrensrecht stützenden Zwischenentscheid mit Verwaltungsgerichtsbeschwerde beim Bundesgericht anzufechten. Dieses Rechtsmittel hätte im Übrigen - entgegen Ziffer 5 des Dispositivs des angefochtenen Entscheides - innert der für die Anfechtung von Zwischenverfügungen geltenden kürzeren Frist von zehn Tagen seit Zustellung ( Art. 106 Abs. 1 OG ) eingereicht werden müssen, worauf bereits das Verwaltungsgericht im Sinne einer Eventualerwägung hingewiesen hat (angefochtenes Urteil E. 7). Diese Frist ist hier nicht eingehalten worden.</w:t>
      </w:r>
    </w:p>
    <w:p>
      <w:r>
        <w:rPr>
          <w:b/>
        </w:rPr>
        <w:t>E. 1.3</w:t>
      </w:r>
    </w:p>
    <w:p>
      <w:r>
        <w:t>Es bleibt zu prüfen, ob die Eingabe allenfalls als staatsrechtliche Beschwerde entgegenzunehmen ist. Der Zweckverband Bezirksspital Dielsdorf ist als kommunaler Spitalverband eine öffentlichrechtliche Körperschaft mit eigener Rechtspersönlichkeit (vgl. angefochtenes Urteil E. 1.3); Zweck ist der Betrieb des Bezirksspitals Dielsdorf sowie die Wahrnehmung weiterer Verbandsaufgaben auf dem Gebiet des öffentlichen Gesundheitswesens.</w:t>
      </w:r>
    </w:p>
    <w:p>
      <w:r>
        <w:t>Als mit öffentlichrechtlichen Befugnissen bzw. mit Verfügungsgewalt ausgestatteter Arbeitgeber (vgl. angefochtenes Urteil E. 4) kann der Zweckverband Bezirksspital Dielsdorf das (subsidiäre) Rechtsmittel der staatsrechtlichen Beschwerde zur Geltendmachung der von ihm angerufenen individualrechtlichen Verfassungsgarantien (Willkürverbot, Art. 9 BV ) nicht in Anspruch nehmen, auch nicht in Fragen des kantonalen Verfahrensrechts, wie sie hier streitig sind (vgl. BGE 120 Ia 95 E. 1 und 2). Dass der angefochtene Entscheid des Verwaltungsgerichts in geschützte autonome Befugnisse des Beschwerdeführers eingreife (vgl. BGE 124 I 223 E. 1b), behauptet dieser mit Recht nicht. Im Übrigen stünde der materiellen Behandlung der Eingabe als staatsrechtliche Beschwerde auch Art. 87 Abs. 2 OG entgegen, wonach Zwischenentscheide nur dann gesondert angefochten werden können, wenn ein nicht wieder gutzumachender rechtlicher Nachteil droht; das blosse Interesse an der Vermeidung der Verlängerung des Verfahrens reicht dazu nicht aus ( BGE 120 Ib 97 E. 1c).</w:t>
      </w:r>
    </w:p>
    <w:p>
      <w:r>
        <w:rPr>
          <w:b/>
        </w:rPr>
        <w:t>E. 2</w:t>
      </w:r>
    </w:p>
    <w:p>
      <w:r>
        <w:t>Auf die Beschwerde ist daher nicht einzutreten. Nach Art. 13 Abs. 5 GlG ist das Verfahren in Gleichstellungssachen bei öffentlichrechtlichen Arbeitsverhältnissen kostenlos. Dies gilt indessen nur, soweit überhaupt die Anwendung des Gleichstellungsgesetzes zur Diskussion steht ( BGE 124 I 223 E. 3). Da es hier einzig um die Auslegung und Anwendung des kantonalen Verfahrensrechts ging, ist Art. 13 Abs. 5 GlG nicht anwendbar. Die Kosten des Verfahrens vor Bundesgericht sind daher dem Beschwerdeführer aufzuerlegen, zumal er vermögensrechtliche Interessen verfolgt ( Art. 156 Abs. 1 und 2 OG ). Dieser hat zudem der Beschwerdegegnerin für das bundesgerichtliche Verfahren eine Parteientschädigung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