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2A.396/2003 vom 30. September 2004</w:t>
      </w:r>
    </w:p>
    <w:p>
      <w:r>
        <w:t>Bundesgericht, 2004-09-30, FR</w:t>
      </w:r>
    </w:p>
    <w:p>
      <w:r>
        <w:rPr>
          <w:b/>
        </w:rPr>
        <w:t xml:space="preserve">Quelle: </w:t>
      </w:r>
      <w:r>
        <w:t>https://mcp.opencaselaw.ch/entscheid/bger_2A.396_2003</w:t>
      </w:r>
    </w:p>
    <w:p>
      <w:r>
        <w:t>FR: TF 2A.396/2003 du 30 septembre 2004</w:t>
      </w:r>
    </w:p>
    <w:p>
      <w:r>
        <w:t>IT: TF 2A.396/2003 del 30 settembre 2004</w:t>
      </w:r>
    </w:p>
    <w:p>
      <w:pPr>
        <w:pStyle w:val="Heading2"/>
      </w:pPr>
      <w:r>
        <w:t>Regeste</w:t>
      </w:r>
    </w:p>
    <w:p>
      <w:r>
        <w:t>Santé &amp; sécurité sociale</w:t>
      </w:r>
    </w:p>
    <w:p>
      <w:pPr>
        <w:pStyle w:val="Heading2"/>
      </w:pPr>
      <w:r>
        <w:t>Erwägungen</w:t>
      </w:r>
    </w:p>
    <w:p>
      <w:r>
        <w:rPr>
          <w:b/>
        </w:rPr>
        <w:t>E. 1.1</w:t>
      </w:r>
    </w:p>
    <w:p>
      <w:r>
        <w:t>Formé en temps utile contre une décision au sens de l' art. 5 PA fondée sur le droit public fédéral et prise par une commission fédérale de recours (art. 98 lettre e OJ), sans qu'aucune des exceptions prévues aux art. 99 à 102 OJ ne soit réalisée, le présent recours est recevable au regard des art. 97 ss OJ et de la règle spéciale prévue par l'art. 74 al. 4 de la loi fédérale du 25 juin 1982 sur la prévoyance professionnelle vieillesse, survivants et invalidité (LPP; RS 831.40).</w:t>
      </w:r>
    </w:p>
    <w:p>
      <w:r>
        <w:rPr>
          <w:b/>
        </w:rPr>
        <w:t>E. 1.2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ainsi que les traités internationaux ( ATF 126 II 506 consid. 1b).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et les arrêts cités).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 décision entreprise, le droit fédéral ne prévoyant pas un tel examen en la matière (art. 104 lettre c ch. 3 OJ).</w:t>
      </w:r>
    </w:p>
    <w:p>
      <w:r>
        <w:rPr>
          <w:b/>
        </w:rPr>
        <w:t>E. 2</w:t>
      </w:r>
    </w:p>
    <w:p>
      <w:r>
        <w:t>Selon la jurisprudence déduite de l' art. 8 Cst. , le règlement d'une institution de prévoyance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ATF 130 V 18 consid. 5.2; 127 V 252 consid. 3b; 126 V 48 consid. 3b).</w:t>
      </w:r>
    </w:p>
    <w:p>
      <w:r>
        <w:rPr>
          <w:b/>
        </w:rPr>
        <w:t>E. 3.1</w:t>
      </w:r>
    </w:p>
    <w:p>
      <w:r>
        <w:t>En l'espèce, le nouveau règlement de la Fondation est entré en vigueur le 1er janvier 1999. En l'absence de disposition transitoire ou rétroactive, il s'applique uniquement aux rentes de vieillesse venant à échéance après son entrée en vigueur, tandis que les rentes de vieillesse en cours demeurent soumises à l'ancien régime. Le recourant ayant pris sa retraite le 1er janvier 1998, sa rente de vieillesse a été calculée selon les anciennes dispositions. Elle n'a subi aucune modification consécutive au nouveau règlement, ni vers le haut, ni vers le bas. Du reste, l'intéressé ne demande pas que ses prestations de vieillesse soient désormais recalculées selon les nouvelles dispositions, ni selon le nouveau plan de prévoyance, entré en vigueur le 1er janvier 2001, qu'il évoque dans son recours.</w:t>
      </w:r>
    </w:p>
    <w:p>
      <w:r>
        <w:rPr>
          <w:b/>
        </w:rPr>
        <w:t>E. 3.2</w:t>
      </w:r>
    </w:p>
    <w:p>
      <w:r>
        <w:t>En revanche, le recourant affirme que la modification réglementaire du 1er janvier 1999 consacre une inégalité de traitement injustifiée entre les retraités d'avant février 1999 et les autres assurés, du fait que les seconds ont perçu un avoir complémentaire que n'ont pas obtenu les premiers. D'après lui, si la Fondation, qui utilisait auparavant les bases techniques prudentes de l'assureur-vie, a revu à la baisse les valeurs actuelles, cela signifie que les cotisations étaient plus élevées que nécessaire pour garantir le paiement des rentes tout en assurant la pérennité de l'institution de prévoyance selon l' art. 65 LPP . Or, la prestation de libre passage fondée sur les anciennes valeurs actuelles a été financée par les cotisations des assurés acquittées avant le 1er février 1999. L'avoir complémentaire correspond ainsi à des cotisations versées en trop. Dans ces conditions, toujours selon le recourant, cet excédent doit être redistribué à l'ensemble des assurés ayant contribué à ce montant, non pas aux seuls assurés encore actifs au 1er février 1999.</w:t>
      </w:r>
    </w:p>
    <w:p>
      <w:r>
        <w:rPr>
          <w:b/>
        </w:rPr>
        <w:t>E. 4</w:t>
      </w:r>
    </w:p>
    <w:p>
      <w:r>
        <w:t>Dans la mesure où le recourant entend obtenir une prestation de libre passage, ce grief doit être écarté. En effet, un assuré n'a droit à une prestation de libre passage que s'il quitte l'institution de prévoyance avant la survenance d'un cas de prévoyance (art. 2 al. 1 de la loi fédérale du 17 décembre 1993 sur le libre passage dans la prévoyance professionnelle vieillesse, survivants et invalidité [loi sur le libre passage, LFLP; RS 831.42]). En l'espèce, le cas de prévoyance, à savoir la vieillesse, est survenu et le recourant touche les prestations qui en découlent. Il n'a donc plus droit à une prestation de libre passage.</w:t>
      </w:r>
    </w:p>
    <w:p>
      <w:r>
        <w:rPr>
          <w:b/>
        </w:rPr>
        <w:t>E. 5.1</w:t>
      </w:r>
    </w:p>
    <w:p>
      <w:r>
        <w:t>La Fondation est conçue suivant le système de la primauté des prestations, selon lequel le montant des cotisations est calculé en fonction de l'objectif futur des prestations assurées telles que fixées dans le règlement. Cette méthode s'oppose à celle de la primauté des cotisations, d'après laquelle, inversement, les prestations assurées sont définies en fonction du montant des cotisations telles que prévues dans le règlement (Carl Helbling, Personalvorsorge und BVG, 7e éd., 2000, n. 4.33 p. 167 ss; Message du Conseil fédéral du 26 février 1992 concernant le projet de loi fédérale sur le libre passage dans la prévoyance professionnelle vieillesse, survivants et invalidité, FF 1992 III 529, n. 634 p. 583 s.). Dans les institutions de prévoyance organisées selon le système de la primauté des prestations, la prestation de libre passage correspond à "la valeur actuelle des prestations acquises" ( art. 16 al. 1 LFLP ). Les prestations acquises équivalent aux prestations assurées multipliées par la période d'assurance imputable (années de cotisations et années de rachat) puis divisées par la période d'assurance possible (années déjà réalisées et années restant jusqu'à l'âge réglementaire de la retraite) ( art. 16 al. 2-5 LFLP ). Quant aux valeurs actuelles, elles doivent être établies selon les règles actuarielles reconnues et figurer sous forme de tableau dans le règlement ( art. 16 al. 6 LFLP ). De cette définition légale résulte qu'une baisse des valeurs actuelles entraîne nécessairement une diminution de la prestation de libre passage. En outre, la prestation de libre passage ne dépend pas des cotisations, mais uniquement des valeurs actuelles, des prestations assurées et des années d'assurances réalisées (sous réserve de certaines dispositions destinées à assurer une prévoyance minimum dans certains cas exceptionnels, telles que l' art. 17 LFLP et les comptes témoins obligatoires au sens de l'art. 11 de l'ordonnance du 18 avril 1984 sur la prévoyance professionnelle vieillesse, survivants et invalidité [OPP 2; RS 831.441.1]).</w:t>
      </w:r>
    </w:p>
    <w:p>
      <w:r>
        <w:rPr>
          <w:b/>
        </w:rPr>
        <w:t>E. 5.2</w:t>
      </w:r>
    </w:p>
    <w:p>
      <w:r>
        <w:t>En l'espèce, le calcul de la prestation de libre passage des assurés encore actifs au 1er février 1999 relève des nouvelles valeurs actuelles. Celles-ci étant plus basses que les anciennes, la prestation de libre passage des assurés encore actifs au 1er février 1999 est inférieure à celle qu'ils auraient obtenue s'ils avaient quitté la Fondation avant le 1er février 1999. Ainsi, l'avoir complémentaire ne fait que leur restituer la part de la prestation de libre passage qu'ils avaient acquise, voire rachetée, sous l'ancien règlement et qui disparaît avec l'entrée en vigueur du nouveau. Finalement, la transition entre les deux systèmes s'est déroulée comme si les assurés actifs changeaient de caisse: ils ont reçu fictivement une prestation de libre passage selon l'"ancienne caisse", puis ont racheté leur situation dans la "nouvelle caisse" au moyen de cette prestation, la différence positive - analogue à une prestation de sortie non absorbée (cf. art. 13 al. 1 LFLP ) - leur restant acquise. En créant une symétrie entre les prestations d'entrée et de sortie, l'avoir complémentaire permet ainsi à l'assuré de conserver l'ensemble de la protection acquise auparavant (cf. sur le passage d'une institution de prévoyance à l'autre, Jacques-André Schneider, La loi fédérale sur le libre passage dans la prévoyance professionnelle [LFLP] et son ordonnance [OLP], in: RSAS 38/1994 p. 402 ss, spéc. p. 403 s.). Par conséquent, s'il est vrai que le versement d'un avoir complémentaire aux seuls assurés encore actifs au 1er février 1999 entraîne un traitement différent des assurés pensionnés avant cette date, cette distinction se justifie par un motif raisonnable, à savoir la compensation de la réduction du montant de libre passage, diminution résultant de l'abaissement des valeurs actuelles. Il reste à déterminer si, comme le soutient le recourant, l'avoir complémentaire litigieux correspondrait à la restitution de cotisations versées par les assurés au-delà de ce qui était nécessaire pour garantir le paiement des rentes (consid. 6 et 7 infra).</w:t>
      </w:r>
    </w:p>
    <w:p>
      <w:r>
        <w:rPr>
          <w:b/>
        </w:rPr>
        <w:t>E. 6</w:t>
      </w:r>
    </w:p>
    <w:p>
      <w:r>
        <w:t>L'évaluation du capital nécessaire à une institution de prévoyance pour garantir les prestations assurées dépend notamment des règles actuarielles adoptées, à savoir du taux d'intérêt technique (relatif au rendement escompté de la fortune de la caisse; cf. art. 26 al. 2 LFLP et art. 8 de l'ordonnance du 3 octobre 1994 sur le libre passage dans la prévoyance professionnelle vieillesse, survivants et invalidité [OLP; RS 831.425]) et des bases techniques. Celles-ci comportent en particulier les tables de probabilité (éléments de risques [mortalité, invalidité] et éléments démographiques [état civil, nombre d'enfants, etc.]), ainsi que les facteurs dits économiques, tels que les frais d'administration, les bénéfices ou pertes de mutation, les variations de salaires et les augmentations de rentes (sur ces notions, cf. Helbling, op. cit., n. 8.1 p. 347 ss). Le choix du taux d'intérêt technique et des bases techniques détermine les échelles de valeurs actuelles (Message, op. cit., n. 634.2 p. 588). Quant aux ressources destinées à couvrir ces coûts, elles se composent non seulement des cotisations des assurés, mais aussi, pour l'essentiel, des cotisations et autres contributions des employeurs, du rendement de la fortune, d'éventuels bénéfices de mutation en cas de sortie d'assurés et des participations aux excédents des contrats d'assurance (dans les caisses de pension réassurées) (Helbling, op. cit., n. 4.2 p. 158 ss).</w:t>
      </w:r>
    </w:p>
    <w:p>
      <w:r>
        <w:rPr>
          <w:b/>
        </w:rPr>
        <w:t>E. 7</w:t>
      </w:r>
    </w:p>
    <w:p>
      <w:r>
        <w:t>A bien suivre le recourant (cf. consid. 3.2 supra), l'évaluation des coûts effectuée par la Fondation sous l'empire de l'ancien règlement aurait été exagérée, ainsi que le démontrerait la décision de baisser les valeurs actuelles, trop élevées car fondées sur des bases techniques "prudentes".</w:t>
      </w:r>
    </w:p>
    <w:p>
      <w:r>
        <w:rPr>
          <w:b/>
        </w:rPr>
        <w:t>E. 7.1</w:t>
      </w:r>
    </w:p>
    <w:p>
      <w:r>
        <w:t>Les institutions de prévoyance disposent d'une certaine latitude d'appréciation dans le choix de leurs bases techniques, notamment en ce qui concerne le degré de prudence qu'elles entendent respecter à cet égard. En l'occurrence, rien n'indique que la Fondation aurait abusé de son pouvoir discrétionnaire en optant pour des bases techniques "prudentes". La seule décision de les modifier ne signifie pas nécessairement qu'elles étaient en réalité "excessivement" prudentes, deux évaluations différentes pouvant demeurer dans une marge d'appréciation admissible.</w:t>
      </w:r>
    </w:p>
    <w:p>
      <w:r>
        <w:rPr>
          <w:b/>
        </w:rPr>
        <w:t>E. 7.2</w:t>
      </w:r>
    </w:p>
    <w:p>
      <w:r>
        <w:t>Du reste, les cotisations versées par les assurés déjà pensionnés au 1er février 1999 ne se trouvent de toute façon pas en lien direct avec les rentes obtenues. D'une part, il ressort du dossier que la Fondation a fixé les cotisations des assurés à un taux moyen identique, indépendamment de l'âge ou d'autres critères tels que le sexe, l'état civil ou le nombre d'enfants. Un tel système est d'ailleurs favorable aux employés plus âgés, dont les bonifications de vieillesse sont bien plus élevées que celles dues pour les plus jeunes (cf. art. 16 LPP ). D'autre part, les cotisations des assurés se sont ajoutées aux autres recettes de la Fondation pour former un tout, qui a financé l'ensemble des prestations assurées.</w:t>
      </w:r>
    </w:p>
    <w:p>
      <w:r>
        <w:rPr>
          <w:b/>
        </w:rPr>
        <w:t>E. 7.3</w:t>
      </w:r>
    </w:p>
    <w:p>
      <w:r>
        <w:t>Enfin, le nouveau plan de prévoyance évoqué par le recourant, entré en vigueur le 1er janvier 2001 et décrit au dossier (selon les circulaires de la Fondation de juillet 2000 et leur annexe intitulée "information sur les modifications apportées au règlement"), ne plaide pas davantage en faveur de la thèse du recourant. Certes, la rente maximale de vieillesse a été augmentée de 60 à 70% du salaire assuré et prend désormais en compte des éléments de salaire variable. Toutefois, parmi d'autres changements, l'âge de la retraite est passé de 60 à 64 ans pour les collaborateurs et la déduction de coordination a été portée du 5/6ème de la rente de vieillesse AVS à l'entier de cette rente. Surtout, les cotisations des employés ont été haussées de 7 à 7.5%. Il n'est dès lors pas démontré que le nouveau plan de prestations constituerait globalement une amélioration en faveur des assurés encore actifs, de sorte que ceux-ci profiteraient de privilèges financés par des excédents antérieurs. Au demeurant, l'augmentation des cotisations des employés va directement à l'encontre de l'argumentation du recourant tendant à dire que les siennes étaient trop élevées.</w:t>
      </w:r>
    </w:p>
    <w:p>
      <w:r>
        <w:rPr>
          <w:b/>
        </w:rPr>
        <w:t>E. 7.4</w:t>
      </w:r>
    </w:p>
    <w:p>
      <w:r>
        <w:t>Dans ces conditions, il n'est pas établi que la Fondation aurait abusé de son pouvoir discrétionnaire dans l'adoption de ses bases techniques précédentes - entraînant des valeurs actuelles élevées -, pas plus qu'elle aurait prélevé de ce fait des cotisations excessives au vu des rentes assurées, au point de générer ainsi un excédent non justifié aux frais des employés. En conséquence, l'avoir complémentaire litigieux ne correspond pas à la redistribution d'un surplus financé par l'ensemble des assurés. Partant, on ne saurait voir une inégalité de traitement dans l'octroi de l'avoir complémentaire en cause aux seuls assurés encore actifs au 1er février 1999.</w:t>
      </w:r>
    </w:p>
    <w:p>
      <w:r>
        <w:rPr>
          <w:b/>
        </w:rPr>
        <w:t>E. 8</w:t>
      </w:r>
    </w:p>
    <w:p>
      <w:r>
        <w:t>Vu ce qui précède, le recours est mal fondé. Succombant, le recourant doit supporter les frais judiciaires ( art. 156 al. 1, 153 et 153a OJ ). La Fondation n'étant pas assistée par un mandataire professionnel,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