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2A.387/2003 vom 1. März 2004</w:t>
      </w:r>
    </w:p>
    <w:p>
      <w:r>
        <w:t>Bundesgericht, 2004-03-01, DE</w:t>
      </w:r>
    </w:p>
    <w:p>
      <w:r>
        <w:rPr>
          <w:b/>
        </w:rPr>
        <w:t xml:space="preserve">Quelle: </w:t>
      </w:r>
      <w:r>
        <w:t>https://mcp.opencaselaw.ch/entscheid/bger_2A.387_2003</w:t>
      </w:r>
    </w:p>
    <w:p>
      <w:r>
        <w:t>FR: TF 2A.387/2003 du 1 mars 2004</w:t>
      </w:r>
    </w:p>
    <w:p>
      <w:r>
        <w:t>IT: TF 2A.387/2003 del 1 marzo 2004</w:t>
      </w:r>
    </w:p>
    <w:p>
      <w:pPr>
        <w:pStyle w:val="Heading2"/>
      </w:pPr>
      <w:r>
        <w:t>Regeste</w:t>
      </w:r>
    </w:p>
    <w:p>
      <w:r>
        <w:t>Strassenbau und Strassenverkehr</w:t>
      </w:r>
    </w:p>
    <w:p>
      <w:pPr>
        <w:pStyle w:val="Heading2"/>
      </w:pPr>
      <w:r>
        <w:t>Erwägungen</w:t>
      </w:r>
    </w:p>
    <w:p>
      <w:r>
        <w:rPr>
          <w:b/>
        </w:rPr>
        <w:t>E. 1.1</w:t>
      </w:r>
    </w:p>
    <w:p>
      <w:r>
        <w:t>Gemäss Art. 82 Abs. 1 BV erlässt der Bund Vorschriften über den Strassenverkehr. Den Kantonen bleibt aber, unter gewissen Vorbehalten, das Recht gewahrt, den Automobil- und Fahrradverkehr zu beschränken oder zu untersagen. Hinsichtlich der den Kantonen und Gemeinden verbleibenden Befugnisse unterscheidet Art. 3 des Strassenverkehrsgesetzes vom 19. Dezember 1958 (SVG; SR 741.01) zwischen zwei Arten von Einschränkungen des Motorfahrzeug- und Fahrradverkehrs, nämlich zwischen dem vollständigen Verbot oder der zeitlichen Beschränkung des Verkehrs auf bestimmten, nicht dem allgemeinen Durchgangsverkehr geöffneten Strassen gemäss Art. 3 Abs. 3 SVG (vorbehalten bleibt in diesen Fällen die staatsrechtliche Beschwerde an das Bundesgericht wegen Verletzung verfassungsmässiger Rechte der Bürger, vgl. Art. 3 Abs. 3 Satz 3 SVG ), und den "anderen Beschränkungen oder Anordnungen" gemäss Art. 3 Abs. 4 SVG . Bei letzteren - den so genannten funktionellen Verkehrsanordnungen - handelt es sich um Massnahmen, die nicht in einem (vollständigen oder zeitlich beschränkten) Fahrverbot bestehen. Ihre Zulässigkeit wird durch Art. 3 Abs. 4 SVG an besondere sachliche Voraussetzungen geknüpft; sie unterstehen insoweit der Herrschaft des Strassenverkehrsgesetzes und können heute, nachdem der bisherige Weg der Verwaltungsbeschwerde an den Bundesrat nicht mehr offen steht, mit Verwaltungsgerichtsbeschwerde beim Bundesgericht angefochten werden ( Art. 3 Abs. 4 Satz 3 SVG in der Fassung vom 14. Dezember 2001, in Kraft seit 1. Januar 2003 [AS 2002 2767 2781; BBl 1999 4462]). Der Höcklerweg und die Obere Bassersdorferstrasse in Kloten sind für den allgemeinen Durchgangsverkehr geöffnet. Beim Anbringen eines Stop-Signals (Nr. 3.01) mit Spiegel handelt es sich um eine funktionelle Verkehrsanordnung im Sinne von Art. 3 Abs. 4 SVG . Die Verwaltungsgerichtsbeschwerde gegen den in dieser Sache letztinstanzlichen kantonalen Entscheid ist daher zulässig.</w:t>
      </w:r>
    </w:p>
    <w:p>
      <w:r>
        <w:rPr>
          <w:b/>
        </w:rPr>
        <w:t>E. 1.2</w:t>
      </w:r>
    </w:p>
    <w:p>
      <w:r>
        <w:t>Gemäss Art. 103 lit. a OG ist zur Verwaltungsgerichtsbeschwerde berechtigt, wer durch die angefochtene Verfügung berührt wird und ein schutzwürdiges Interesse an deren Änderung oder Aufhebung hat. Vorliegend geht aus den Akten nicht genau hervor, wo sich die vom Beschwerdeführer bewohnte Liegenschaft befindet und inwiefern er durch das verfügte Stop-Signal als Verkehrsteilnehmer betroffen ist; es geht ihm, wie aus den Ausführungen in der Beschwerdeschrift geschlossen werden muss, offenbar primär um die generelle Verbesserung der Verkehrssicherheit im Weiler Gerlisberg. Ob dies für die Legitimation zur Anfechtung der streitigen Massnahme genügt, bedarf hier keiner näheren Abklärung, da die Beschwerde, wie sich zeigen wird, ohnehin nicht durchzudringen vermag.</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Funktionelle Verkehrsanordnungen nach Art. 3 Abs. 4 SVG können erlassen werden, soweit der Schutz der Bewohner oder gleichermassen Betroffener vor Lärm und Luftverschmutzung, die Sicherheit, die Erleichterung oder die Regelung des Verkehrs, der Schutz der Strasse oder andere in den örtlichen Verhältnissen liegende Gründe dies erfordern. Die Kantone können dabei all jene Massnahmen treffen, die ihnen im Rahmen der strassenverkehrsrechtlichen Bundesvorschriften zur Verfügung stehen und die nach dem Grundsatz von Notwendigkeit und Verhältnismässigkeit zulässig sind (René Schaffhauser, Grundriss des schweizerischen Strassenverkehrsrechts, Band I, 2. Auflage, Bern 2002, N. 44).</w:t>
      </w:r>
    </w:p>
    <w:p>
      <w:r>
        <w:rPr>
          <w:b/>
        </w:rPr>
        <w:t>E. 2.2</w:t>
      </w:r>
    </w:p>
    <w:p>
      <w:r>
        <w:t>Treffen Nebenstrassen zusammen, kann die Behörde mit den Signalen "Stop" oder "Kein Vortritt" eine vom gesetzlichen Rechtsvortritt abweichende Regelung verfügen, sofern die Strassen- und Verkehrsverhältnisse dies erfordern, namentlich wo Nebenstrassen von unterschiedlichem Ausbau und unterschiedlicher Bedeutung zusammentreffen ( Art. 109 Abs. 4 der Signalisationsverordnung vom 5. September 1979 [SSV; SR 741.21] ).</w:t>
      </w:r>
    </w:p>
    <w:p>
      <w:r>
        <w:rPr>
          <w:b/>
        </w:rPr>
        <w:t>E. 3.1</w:t>
      </w:r>
    </w:p>
    <w:p>
      <w:r>
        <w:t>Das Bundesgericht prüft grundsätzlich frei, ob eine Massnahme im öffentlichen Interesse liegt und dem Verhältnismässigkeitsprinzip genügt. Doch auferlegt es sich Zurückhaltung, soweit die Beurteilung von einer Würdigung der örtlichen Verhältnisse abhängt, welche die kantonalen Behörden besser kennen und überblicken als das Bundesgericht, und soweit sich - wie hier - ausgesprochene Ermessensfragen stellen ( BGE 119 Ia 348 E. 2a S. 353; 118 Ia 394 E. 2b S. 397).</w:t>
      </w:r>
    </w:p>
    <w:p>
      <w:r>
        <w:rPr>
          <w:b/>
        </w:rPr>
        <w:t>E. 3.2</w:t>
      </w:r>
    </w:p>
    <w:p>
      <w:r>
        <w:t>Nach den für das Bundesgericht grundsätzlich verbindlichen Feststellungen des kantonalen Verwaltungsgerichts (E. 1.3) sind vorliegend die spezifischen Voraussetzungen gemäss Art. 109 Abs. 4 SSV zur Aufhebung des Rechtsvortritts gegeben (vgl. S. 7 des angefochtenen Entscheides). Das Anbringen eines Stop-Signals mit Spiegel lässt sich daher nicht beanstanden, diese Massnahme ist bundesrechtskonform (Schaffhauser, a.a.O.,N. 46), und auch der Beschwerdeführer behauptet, soweit ersichtlich, nichts Gegenteiliges ("Tatsächlich liegt keine zu korrigierende Rechtswidrigkeit in der Anordnung von Spiegel mit Stopp für den Höcklerweg vor ", S. 2 unten der Eingabe vom 15. September 2003). Soweit er die Aufhebung der fraglichen Massnahme verlangt, ist seine Beschwerde daher abzuweisen. Ob, wie vom Beschwerdeführer verlangt, statt dem angefochtenen Stop-Signal auf der Oberen Bassersdorferstrasse "Tempo 30" zu signalisieren wäre, um die mit der betreffenden Einmündung bzw. mit dem Verkehr auf dieser Strasse generell verbundenen Gefahren zu beschränken, ist eine Ermessensfrage. Wenn die lokalen bzw. kantonalen Behörden als Sofortmassnahme das Anbringen eines Stop-Signals mit Spiegel vorgezogen haben, hält sich dies im Rahmen des ihnen zuzugestehenden Spielraumes.</w:t>
      </w:r>
    </w:p>
    <w:p>
      <w:r>
        <w:rPr>
          <w:b/>
        </w:rPr>
        <w:t>E. 4</w:t>
      </w:r>
    </w:p>
    <w:p>
      <w:r>
        <w:t>Die Verwaltungsgerichtsbeschwerde erweist sich nach dem Gesagten als unbegründet. Entsprechend dem Ausgang des Verfahrens sind dessen Kosten dem Beschwerdeführer aufzuerlegen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