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2A.387/2001 vom 9. Oktober 2001</w:t>
      </w:r>
    </w:p>
    <w:p>
      <w:r>
        <w:t>Bundesgericht, 2001-10-09, DE</w:t>
      </w:r>
    </w:p>
    <w:p>
      <w:r>
        <w:rPr>
          <w:b/>
        </w:rPr>
        <w:t xml:space="preserve">Quelle: </w:t>
      </w:r>
      <w:r>
        <w:t>https://mcp.opencaselaw.ch/entscheid/bger_2A.387_2001</w:t>
      </w:r>
    </w:p>
    <w:p>
      <w:r>
        <w:t>FR: TF 2A.387/2001 du 9 octobre 2001</w:t>
      </w:r>
    </w:p>
    <w:p>
      <w:r>
        <w:t>IT: TF 2A.387/2001 del 9 ottobre 2001</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dabei jedoch ausschliesslich die Rechtmässigkeit der ausländerrechtlichen Administrativhaft, nicht auch die Asyl- bzw. Wegweisungsfrage (vgl. Art. 100 Abs. 1 lit. b Ziff. 4 OG). Die Zulässigkeit des Wegweisungsentscheids wird vorfrageweise nur berücksichtigt, wenn dieser als offensichtlich rechtswidrig zu gelten hat (vgl. BGE 121 II 59 E. 2c S. 61).</w:t>
      </w:r>
    </w:p>
    <w:p>
      <w:r>
        <w:rPr>
          <w:b/>
        </w:rPr>
        <w:t>E. 2</w:t>
      </w:r>
    </w:p>
    <w:p>
      <w:r>
        <w:t>Die zuständige Behörde kann einen Ausländer in Ausschaffungshaft nehmen, soweit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122 II 148 E. 1 S. 150 f.), dessen Vollzug (z.B. wegen fehlender Reisepapiere) noch nicht möglich, jedoch absehbar ist. Zudem muss einer der in Art. 13b Abs. 1 ANAG genannten Haftgründe bestehen ( BGE 124 II 1 E. 1 S. 3), die Ausschaffung rechtlich und tatsächlich möglich sein ( Art. 13c Abs. 5 lit. a ANAG ; vgl. dazu BGE 122 II 148 E. 3 S. 152 ff.) und die Papierbeschaffung mit dem nötigen Nachdruck verfolgt werden ( Art. 13b Abs. 3 ANAG ; Beschleunigungsgebot; BGE 124 II 49 ff.).</w:t>
      </w:r>
    </w:p>
    <w:p>
      <w:r>
        <w:rPr>
          <w:b/>
        </w:rPr>
        <w:t>E. 3</w:t>
      </w:r>
    </w:p>
    <w:p>
      <w:r>
        <w:t>a) Der Beschwerdeführer ist am 4. September 2001 formlos weggewiesen worden; dieser Entscheid war nicht offensichtlich rechtswidrig, obwohl der Beschwerdeführer während seines Aufenthalts in der Schweiz wiederholt den Ausdruck "Asyl" gebraucht hat: Nach Art. 18 und 19 des Asylgesetzes vom 26. Juni 1998 (SR 142. 31) gilt als Asylgesuch jede Äusserung, mit der eine Person bei einer schweizerischen Vertretung, an einem geöffneten Grenzübergang oder an einer Empfangsstelle zu erkennen gibt, dass sie die Schweiz um Schutz vor Verfolgung ersucht (vgl. Mario Gattiker, Das Asyl- und Wegweisungsverfahren, Bern 1999, S. 22). Ist auch grundsätzlich davon auszugehen, dass an die entsprechende Erklärung keine allzu hohen Anforderungen zu stellen sind, durften die kantonalen Behörden hier doch annehmen, dass bis zur formlosen Wegweisung kein solches Gesuch vorlag. Der Beschwerdeführer hatte zwar offenbar gegenüber der Verkäuferin im Coop, wo er angehalten wurde, geäussert, er wolle "Asyl"; diese war für die Entgegennahme des entsprechenden Gesuchs aber offensichtlich unzuständig. Den Behörden gegenüber erklärte er in der Folge, der Schlepper bzw. Chauffeur habe seinem Begleiter und ihm geraten, sie sollten der Polizei gegenüber "Asyl, Asyl" sagen; aus den weiteren Einvernahmen ergab sich aber, dass er überhaupt nicht wusste, was das eigentlich heissen sollte. Darauf angesprochen, warum er ins Asylzentrum wolle, erklärte er, dass man sich dort frei bewegen und auf die Strasse gehen könne; er wolle im Asylzentrum "leben, Sprachen lernen und zur Schule gehen". Probleme mit der Polizei oder dem Militär habe er nicht gehabt. Dem Beschwerdeführer ging es darum, hier "normal" leben und arbeiten zu können. Sein ihm vom Schlepper empfohlener, inhaltsloser Gebrauch des Ausdrucks "Asyl" sollte dies ermöglichen und eine sofortige Wegweisung verhindern, ohne dass der Beschwerdeführer auch nur ansatzweise um Schutz vor einer Verfolgung nachsuchen wollte, was letztlich die Tatsache belegt, dass er erst um "Asyl" bat, als er angehalten wurde. Unter diesen Umständen war es nicht offensichtlich unhaltbar, ihn formlos wegzuweisen und den Vollzug dieses Entscheids mit einer Ausschaffungshaft zu sichern. Dies wird durch den im bundesgerichtlichen Verfahren eingeholten Amtsbericht des Bundesamts für Flüchtlinge bestätigt, wonach gestützt auf die Erklärungen des Beschwerdeführers, denen jegliche Ernsthaftigkeit abgehe, kein Asylverfahren eröffnet werde. Der Beschwerdeführer hat seinerseits inzwischen erklärt, nicht - wie ursprünglich behauptet - B.________ zu heissen und aus der Ukraine zu stammen; er sei entgegen seinen früheren Angaben auch nicht minderjährig. Er komme aus Litauen, wohin er nunmehr zurückkehren wolle. Ein allfälliges Asylgesuch wäre damit gegenstandslos.</w:t>
      </w:r>
    </w:p>
    <w:p>
      <w:r>
        <w:t>b) Die anderen Haftvoraussetzungen sind ohne weiteres gegeben, insbesondere besteht beim Beschwerdeführer Untertauchensgefahr im Sinne von Art. 13b Abs. 1 lit. c ANAG (vgl. BGE 125 II 369 E. 3b/aa S. 375; 122 II 49 E. 2a S. 50 f.; 119 Ib 193 E. 2b S. 198): Seine Identität steht nicht fest. Er ist auf seine entsprechenden Angaben wiederholt zurückgekommen. Die Art und der Zweck seiner Einreise - in einem Lastwagen versteckt, um hier arbeiten bzw. zur Schule gehen zu können - legen nahe, dass er sich ohne Haft den Behörden zum Vollzug der Wegweisung nicht zur Verfügung halten wird. Er ist mittellos und wurde bei einem versuchten Ladendiebstahl angehalten. War dieser auch eher unbedeutend ("Vergessen" des Bezahlens einer Nagelschere), ergibt sich daraus doch, dass er sich um die hiesige Rechtsordnung nicht weiter kümmert, und bereit ist, sich hier mit allen Mitteln durchzuschlagen. Noch vor dem Haftrichter widersetze er sich einer Rückkehr in sein Heimatland: er besteige ein entsprechendes Flugzeug "nur mit Handschellen". Dass er auf diese Erklärung inzwischen zurückgekommen ist, lässt den Haftgrund nicht entfallen, sondern belegt, dass er die Behörden mit seinen Angaben bewusst und planmässig zu täuschen versuchte, um ihre Vollzugsbemühungen zu erschweren. Damit lassen hinreichend konkrete Indizien befürchten, dass er sich ohne die angeordnete Administrativmassnahme der Ausschaffung entziehen wird. Die kantonalen Behörden haben die Identitätsabklärung und Papierbeschaffung sofort in die Wege geleitet; die Ausschaffung des Beschwerdeführers ist zudem zurzeit weder in die Ukraine noch nach Litauen rechtlich oder tatsächlich unmöglich. Der angefochtene Entscheid ist deshalb rechtmässig.</w:t>
      </w:r>
    </w:p>
    <w:p>
      <w:r>
        <w:rPr>
          <w:b/>
        </w:rPr>
        <w:t>E. 4</w:t>
      </w:r>
    </w:p>
    <w:p>
      <w:r>
        <w:t>a) Die Beschwerde ist demnach abzuweisen, soweit darauf eingetreten wird.</w:t>
      </w:r>
    </w:p>
    <w:p>
      <w:r>
        <w:t>b) Dem Verfahrensausgang entsprechend würde der Beschwerdeführer kostenpflichtig ( Art. 156 Abs. 1 OG ). In Fällen der vorliegenden Art rechtfertigt es sich jedoch, von der Erhebung einer Gerichtsgebühr abzusehen (vgl. Art. 154 OG ).</w:t>
      </w:r>
    </w:p>
    <w:p>
      <w:r>
        <w:t>c) Die Einwohnerdienste des Kantons Basel-Stadt werden ersucht, dafür besorgt zu sein,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