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2A.380/2002 vom 19. Februar 2003</w:t>
      </w:r>
    </w:p>
    <w:p>
      <w:r>
        <w:t>Bundesgericht, 2003-02-19, DE</w:t>
      </w:r>
    </w:p>
    <w:p>
      <w:r>
        <w:rPr>
          <w:b/>
        </w:rPr>
        <w:t xml:space="preserve">Quelle: </w:t>
      </w:r>
      <w:r>
        <w:t>https://mcp.opencaselaw.ch/entscheid/bger_2A.380_2002</w:t>
      </w:r>
    </w:p>
    <w:p>
      <w:r>
        <w:t>FR: TF 2A.380/2002 du 19 février 2003</w:t>
      </w:r>
    </w:p>
    <w:p>
      <w:r>
        <w:t>IT: TF 2A.380/2002 del 19 febbraio 2003</w:t>
      </w:r>
    </w:p>
    <w:p>
      <w:pPr>
        <w:pStyle w:val="Heading2"/>
      </w:pPr>
      <w:r>
        <w:t>Regeste</w:t>
      </w:r>
    </w:p>
    <w:p>
      <w:r>
        <w:t>Öffentliche Finanzen &amp; Abgaberecht</w:t>
      </w:r>
    </w:p>
    <w:p>
      <w:pPr>
        <w:pStyle w:val="Heading2"/>
      </w:pPr>
      <w:r>
        <w:t>Erwägungen</w:t>
      </w:r>
    </w:p>
    <w:p>
      <w:r>
        <w:rPr>
          <w:b/>
        </w:rPr>
        <w:t>E. 1.1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146 des Bundesgesetzes vom 14. Dezember 1990 über die direkte Bundessteuer [DBG; SR 642.11]). Der angefochtene Entscheid unterliegt mithin nur insoweit der Verwaltungsgerichtsbeschwerde an das Bundesgericht, als es sich um die direkte Bundessteuer handelt. Auf die frist- und formgerecht (vgl. Art. 106 und 108 OG ) eingereichte Eingabe der nach Art. 103 lit. a OG legitimierten Beschwerdeführer ist soweit einzutreten, als nicht die Aufhebung der die kantonalen Steuern betreffenden Ziffer 1 des Entscheides verlangt wird. Die vorliegende Beschwerde kann hinsichtlich der kantonalen Steuern auch nicht als staatsrechtliche Beschwerde entgegengenommen werden, und zwar bereits deshalb, weil der angefochtene Entscheid insofern nicht letztinstanzlich ist, was die staatsrechtliche Beschwerde ausschliesst (vgl. Art. 86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Dem Steuerpflichtigen werden Verfügungen und Entscheide schriftlich eröffnet, und sie müssen eine Rechtsmittelbelehrung enthalten ( Art. 116 Abs. 1 DBG ). Gegen die Veranlagungsverfügung kann der Steuerpflichtige innert 30 Tagen nach Zustellung bei der Veranlagungsbehörde schriftlich Einsprache erheben ( Art. 132 Abs. 1 DBG ). Die Frist beginnt mit dem auf die Eröffnung folgenden Tage. Sie gilt als eingehalten, wenn die Einsprache am letzten Tag der Frist bei der Veranlagungsbehörde eingelangt ist oder den schweizerischen PTT-Betrieben bzw. einer schweizerischen diplomatischen oder konsularischen Vertretung im Ausland übergeben wurde. Fällt der letzte Tag auf einen Samstag, Sonntag oder staatlich anerkannten Feiertag, so läuft die Frist am nächstfolgenden Werktag ab ( Art. 133 Abs. 1 DBG ). Auf verspätete Einsprachen wird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 Art. 133 Abs. 3 DBG ). Die Einhaltung dieser zuletzt genannten Frist ist im vorliegenden Fall unbestritten. Zu prüfen ist hingegen, ob entsprechende Verhinderungsgründe nachgewiesen sind.</w:t>
      </w:r>
    </w:p>
    <w:p>
      <w:r>
        <w:rPr>
          <w:b/>
        </w:rPr>
        <w:t>E. 2.2</w:t>
      </w:r>
    </w:p>
    <w:p>
      <w:r>
        <w:t>Zu den andern erheblichen Gründen, die ein Eintreten auf verspätete Einsprachen rechtfertigen, zählt auch eine unrichtige Rechtsmittelbelehrung (Martin Zweifel, in: Martin Zweifel/Peter Athanas (Hrsg.), Kommentar zum schweizerischen Steuerrecht, Band I/2b, Basel 2000, N 19 zu Art. 133 DBG , mit Hinweis). Den Grundsatz, dass einer Partei aus einer - auch bei gebotener Aufmerksamkeit nicht erkennbaren - Fehlerhaftigkeit einer Rechtsmittelbelehrung kein Nachteil erwachsen darf, hat die Praxis bereits früher aus Art. 4 aBV abgeleitet; heute beruht er auf Art. 9 BV (vgl. BGE 127 II 198 E. 2c S. 205; 123 II 231 E. 8b S. 238; 121 II 72 E. 2a/b S. 78; 117 Ia 297 E. 2 S. 298 f., 421 E. 2a S. 422, mit Hinweisen). Dieses Prinzip ist seinem Sinn nach auch auf Rechtsmittelbelehrungen anwendbar, deren Wortlaut zwar nicht fehlerhaft ist, die aber aufgrund ihrer Formulierung oder optischen Darstellung insofern missverständlich sind, als ihnen eine andere Aussage entnommen werden kann als von der Behörde beabsichtigt war. Nach dem Grundsatz von Treu und Glauben darf allerdings von Anwälten und anderen berufsmässig vor den Behörden auftretenden Rechtskundigen ein höheres Mass an Sorgfalt erwartet werden als von rechtsunkundigen Privatpersonen. Insbesondere ist ihnen die Konsultation des massgebenden Gesetzestexts auch bei vorhandener Rechtsmittelbelehrung zuzumuten ( BGE 124 I 255 E. 1a/aa S. 258; 118 Ib 326 E. 1c S. 330, je mit Hinweisen). Nachfolgend ist zu prüfen, ob im vorliegenden Fall die Rechtsmittelbelehrung tatsächlich missverstanden werden konnte. Soweit der Grundsatz von Treu und Glauben treuwidriges Verhalten der Behörden verbietet und den Schutz berechtigten Vertrauens des Bürgers gewährleistet, folgt er unmittelbar aus Art. 9 BV (früher: Art. 4 aBV ) und besitzt grundrechtlichen Charakter. Ob ein Verstoss gegen dieses Prinzip vorliegt, prüft das Bundesgericht mit freier Kognition ( BGE 122 I 328 E. 3a S. 334; 117 Ia 285 E. 2b S. 287; 103 Ia 505 E. 1 S. 508).</w:t>
      </w:r>
    </w:p>
    <w:p>
      <w:r>
        <w:rPr>
          <w:b/>
        </w:rPr>
        <w:t>E. 3.1</w:t>
      </w:r>
    </w:p>
    <w:p>
      <w:r>
        <w:t>Den Beschwerdeführern, die weder Anwälte noch sonst berufsmässig Rechtskundige sind und im hier fraglichen Steuerverfahren auch nicht entsprechend vertreten waren, wurden die Zwischenveranlagungen für die Steuerperiode 1997/98 mit Verfügung vom 22. Mai 2000 eröffnet. Die entsprechende Einsprache datiert vom 14. Mai 2001 und ist insoweit verspätet, was nicht bestritten ist.</w:t>
      </w:r>
    </w:p>
    <w:p>
      <w:r>
        <w:rPr>
          <w:b/>
        </w:rPr>
        <w:t>E. 3.2</w:t>
      </w:r>
    </w:p>
    <w:p>
      <w:r>
        <w:t>Die Beschwerdeführer beantragen sinngemäss eine Wiederherstellung der Frist. Soweit sie sich darauf berufen, sie hätten auf die Zwischenveranlagungsverfügungen vom 22. Mai 2000 nicht reagiert, weil sie betreffend die Veranlagungsperiode 1997/98 bereits am 22. März 1998 Einsprache erhoben hatten, können sie nicht gehört werden. Diese Einsprache hatte die Steuerverwaltung am 22. November 1999 abgewiesen, ohne dass die Beschwerdeführer darauf reagierten.</w:t>
      </w:r>
    </w:p>
    <w:p>
      <w:r>
        <w:rPr>
          <w:b/>
        </w:rPr>
        <w:t>E. 3.3</w:t>
      </w:r>
    </w:p>
    <w:p>
      <w:r>
        <w:t>Die Beschwerdeführer machen aber auch geltend, auf den Zwischenveranlagungen vom 22. Mai 2000 sei weder eine definitive Veranlagung noch eine Einspracheverfügung erwähnt gewesen. Sie seien deshalb davon ausgegangen, dass gegen die Zwischenveranlagungen keine Einsprache möglich sei. Die den Beschwerdeführern zugestellten Verfügungen sind als Steuerrechnung für die direkte Bundessteuer bezeichnet und mit einem abtrennbaren Einzahlungsschein versehen. Die Vorderseite enthält unter anderem den Vermerk "Zwischenveranlagung", das pflichtige Einkommen, die Bezugszeit, das Gesamttotal der Steuern und Abgaben, den Zinssatz und am untern Seitenrand den Hinweis: "Beachten Sie die Rechtsmittelbelehrung". Auf der Rückseite finden sich zehn Hinweise zu Einsprache bzw. Rekurs, Zwischenveranlagung, Liegenschaftensteuer, (Wohn-)Sitzverlegung, Steuererlass, Stundung und Steuerbezug. Die Rechtsmittelbelehrung, auf die auf der ersten Seite verwiesen wird, ist auf der Rückseite des Einzahlungsscheins angebracht und lautet für die direkte Bundessteuer wie folgt: "Direkte Bundessteuer Gegen die Veranlagungsverfügung kann innert 30 Tagen seit der Zustellung der Verfügung schriftlich und begründet Einsprache erhoben werden. Die Einsprache ist bei der Veranlagungsbehörde einzureichen. Gegen eine Einspracheverfügung kann innert 30 Tagen seit der Zustellung der Verfügung schriftlich und begründet Beschwerde erhoben werden. Die Beschwerde ist bei der Veranlagungsbehörde einzureichen."</w:t>
      </w:r>
    </w:p>
    <w:p>
      <w:r>
        <w:rPr>
          <w:b/>
        </w:rPr>
        <w:t>E. 3.4</w:t>
      </w:r>
    </w:p>
    <w:p>
      <w:r>
        <w:t>Die Zwischenveranlagungen vom 22. Mai 2000 sind nirgends als Verfügung bezeichnet. Dass die Beschwerdeführer aus den Schreiben ohne Weiteres hätten schliessen müssen, dass es sich dabei um eine Verfügung handelt, dass eine Zwischenveranlagung auch eine Verfügung, nämlich eine Veranlagungsverfügung ist und dass sie dementsprechend zur Wahrung ihrer Interessen gegen dieses Schreiben innert 30 Tagen Einsprache erheben müssen, kann von juristischen Laien nicht ohne weiteres erwartet werden.</w:t>
      </w:r>
    </w:p>
    <w:p>
      <w:r>
        <w:rPr>
          <w:b/>
        </w:rPr>
        <w:t>E. 3.5</w:t>
      </w:r>
    </w:p>
    <w:p>
      <w:r>
        <w:t>Dazu kommt, dass die bereits erwähnten Hinweise auf der Rückseite der Zwischenveranlagungen insgesamt Anlass zur Verwirrung geben können. Hier werden die Steuerpflichtigen mit den Begriffen "Verfügung", "Eröffnung einer Verfügung", "provisorische Veranlagung", "endgültige Veranlagung", "definitive Veranlagung" und "Zwischenveranlagung" konfrontiert. Sie dürfen dabei die Zwischenveranlagung nicht mit der provisorischen Veranlagung verwechseln, denn "Gegen eine provisorische Veranlagung der Staats- und Gemeindesteuern kann keine Einsprache erhoben werden. Diese ist erst gegen die später folgende Eröffnung der endgültigen (definitiven) Veranlagung möglich" (Ziff. 3 der Hinweise). Weiter wird ausgeführt, dass Einsprache bzw. Rekurs jeweils nur gegen die erstmalige Eröffnung einer Verfügung zulässig sind und gegen die Schlussabrechnung des geraden Jahres keine Einsprachemöglichkeit besteht.</w:t>
      </w:r>
    </w:p>
    <w:p>
      <w:r>
        <w:rPr>
          <w:b/>
        </w:rPr>
        <w:t>E. 3.6</w:t>
      </w:r>
    </w:p>
    <w:p>
      <w:r>
        <w:t>Auch im Massenverfahren der Steuerveranlagung darf von der verfügenden Behörde erwartet werden, dass sie die Rechtsmittelbelehrung für die einzelne Verfügung konkretisiert. Für den Adressaten muss zweifelsfrei klar sein, ob es sich bei einem erhaltenen Schreiben um eine anfechtbare Verfügung handelt, und ob - und gegebenenfalls unter welchen Voraussetzungen (Form, Frist, etc.) - ihm dagegen ein (ordentliches) Rechtsmittel zur Verfügung steht. "Dass sowohl das Rechtsinstitut der Zwischenveranlagung als auch die diesbezügliche Rechtsmittelbelehrung nicht leicht zu verstehen sind", gesteht auch die Rekurskommission im angefochtenen Entscheid zu. Die Zwischenveranlagungen vom 22. Mai 2000 sowie die ihnen beigefügte Rechtsmittelbelehrung waren zusammen mit den Hinweisen nicht nur nicht leicht zu verstehen, sondern konnten durchaus missverstanden werden. In der Rechtsmittelbelehrung selbst wurde die Zwischenveranlagung gar nicht ausdrücklich genannt, sondern lediglich die Anfechtbarkeit der Veranlagungs- und der Einspracheverfügung behandelt. Steuerrechtliche Laien, wie es die Beschwerdeführer sind, konnten daraus nicht mit ausreichender Sicherheit entnehmen, ob, wann und welche Rechtsmittel gegen die Zwischenveranlagung zu ergreifen sind. So liess sich namentlich die Zwischenveranlagung auf Grund eines untechnischen Wortverständnisses als provisorische Veranlagung (miss-)verstehen, was in Verbindung mit dem genannten dritten Hinweis auf der Verfügungsrückseite den Fehlschluss ermöglichte, gegen eine Zwischenveranlagung könne als provisorische Veranlagung keine Einsprache erhoben werden. Infolgedessen bestand für die Beschwerdeführer auch kein Anlass zu Rückfragen bei der zuständigen Behörde. Nach dem Vertrauensgrundsatz durfte ihnen unter diesen Umständen die verspätete Einreichung ihrer Einsprache nicht entgegen gehalten werden. Indem die Steuerverwaltung die Einsprache nicht materiell behandelte, verletzte sie deshalb Bundesrecht.</w:t>
      </w:r>
    </w:p>
    <w:p>
      <w:r>
        <w:rPr>
          <w:b/>
        </w:rPr>
        <w:t>E. 4</w:t>
      </w:r>
    </w:p>
    <w:p>
      <w:r>
        <w:t>Damit erweist sich die Verwaltungsgerichtsbeschwerde als begründet, soweit darauf eingetreten werden kann. Dispositiv Ziffern 2 und 3 des angefochtenen Urteils der Rekurskommission vom 11. Juni 2002 sind deshalb aufzuheben, und die Sache ist zur materiellen Behandlung der Einsprache hinsichtlich der direkten Bundessteuer an die Steuerverwaltung zurückzuweisen ( Art. 114 Abs. 2 OG ). Das hat zur Folge, dass die Rekurskommission auch hinsichtlich ihrer Verfahrenskosten neu entscheiden muss. Entsprechend diesem Verfahrensausgang sind die bundesgerichtlichen Kosten dem Kanton Bern aufzuerlegen ( Art. 156 Abs. 2 OG ). Eine Parteientschädigung ist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