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2A.356/2001 vom 28. Januar 2002</w:t>
      </w:r>
    </w:p>
    <w:p>
      <w:r>
        <w:t>Bundesgericht, 2002-01-28, FR</w:t>
      </w:r>
    </w:p>
    <w:p>
      <w:r>
        <w:rPr>
          <w:b/>
        </w:rPr>
        <w:t xml:space="preserve">Quelle: </w:t>
      </w:r>
      <w:r>
        <w:t>https://mcp.opencaselaw.ch/entscheid/bger_2A.356_2001</w:t>
      </w:r>
    </w:p>
    <w:p>
      <w:r>
        <w:t>FR: TF 2A.356/2001 du 28 janvier 2002</w:t>
      </w:r>
    </w:p>
    <w:p>
      <w:r>
        <w:t>IT: TF 2A.356/2001 del 28 gennaio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127 III 41 consid. 2a p. 42; 126 II 506 consid. 1 p. 507; 126 I 81 consid. 1 p. 83 et la jurisprudence citée).</w:t>
      </w:r>
    </w:p>
    <w:p>
      <w:r>
        <w:rPr>
          <w:b/>
        </w:rPr>
        <w:t>E. 1.1</w:t>
      </w:r>
    </w:p>
    <w:p>
      <w:r>
        <w:t>Selon l'art. 100 al. 1 lettre b ch. 3 OJ, le recours de droit administratif n'est pas recevable en matière de police des étrangers contre l'octroi ou le refus d'autorisations auxquelles le droit fédéral ne confère pas un droit. Aux termes de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335 consid. 1a p. 337/338, 377 consid. 2 p. 381, 425 consid. 1 p. 427; 126 I 81 consid. 1a p. 83 et les arrêts cités).</w:t>
      </w:r>
    </w:p>
    <w:p>
      <w:r>
        <w:rPr>
          <w:b/>
        </w:rPr>
        <w:t>E. 1.2</w:t>
      </w:r>
    </w:p>
    <w:p>
      <w:r>
        <w:t>D'après l' art. 17 al. 2 3 ème phrase LSEE, les enfants célibataires âgés de moins de 18 ans ont le droit d'être inclus dans l'autorisation d'établissement de leurs parents aussi longtemps qu'ils vivent auprès d'eux. En l'espèce, le recourant est titulaire d'une autorisation d'établissement depuis 1997. Ses enfants B.________, C.________ et D.________ étaient, au moment déterminant du dépôt de la demande de regroupement familial (cf. ATF 120 Ib 257 consid. 1f p. 262; 118 Ib 153 consid. 1b p. 156/157), âgés de moins de 18 ans. Le recours de droit administratif est dès lors recevable.</w:t>
      </w:r>
    </w:p>
    <w:p>
      <w:r>
        <w:rPr>
          <w:b/>
        </w:rPr>
        <w:t>E. 1.3</w:t>
      </w:r>
    </w:p>
    <w:p>
      <w:r>
        <w:t>Le recourant se réfère en outre à l' art. 8 CEDH , qui garantit le droit au respect de la vie privée et familiale. La recevabilité du recours de ce point de vue dépend de la question de savoir si le recourant entretient des liens étroits et effectifs avec ses fils (cf. ATF 125 II 633 consid. 2e p. 639; 122 II 1 consid. 1e p. 5). En l'occurrence, cette question peut toutefois demeurer indécise de même que, par conséquent, celle de la recevabilité du recours au regard de l' art. 8 CEDH , car le Tribunal fédéral doit de toute façon entrer en matière sous l'angle de l' art. 17 al. 2 3 ème phrase LSEE.</w:t>
      </w:r>
    </w:p>
    <w:p>
      <w:r>
        <w:rPr>
          <w:b/>
        </w:rPr>
        <w:t>E. 1.4</w:t>
      </w:r>
    </w:p>
    <w:p>
      <w:r>
        <w:t>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Le recourant reproche au Tribunal administratif d'avoir mal constaté les faits pertinents et d'avoir apprécié la situation en violation de l' art. 17 al. 2 3 ème phrase LSEE.</w:t>
      </w:r>
    </w:p>
    <w:p>
      <w:r>
        <w:rPr>
          <w:b/>
        </w:rPr>
        <w:t>E. 3.1</w:t>
      </w:r>
    </w:p>
    <w:p>
      <w:r>
        <w:t>La seule condition prévue explicitement par la disposition légale précitée pour la délivrance d'une autorisation de séjour est que "les enfants (mineurs) vivent auprès de leurs parents". D'autres exigences ont cependant été tirées de la loi, de sorte que l' art. 17 al. 2 3 ème phrase LSEE ne confère pas un droit inconditionnel à faire venir en Suisse des enfants vivant à l'étranger. Ces restrictions s'appliquent également, par analogie, à l' art. 8 CEDH .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p. 639; 124 II 361 consid. 3a p. 366). L' art. 17 al. 2 LSEE vise avant tout, selon sa lettre, les cas où la relation entre les parents est intacte. Mais cette disposition tend aussi à protéger, selon la jurisprudence, les relations entre les parents vivant séparés et leurs enfants mineurs. Toutefois, celui des parents qui a librement décidé de venir en Suisse ne peut se prévaloir du droit d'y faire venir son enfant lorsqu'il entretient avec celui-ci des contacts moins étroits que l'autre parent resté à l'étranger ou que les membres de la famille qui en prennent soin, et qu'il peut maintenir les relations existantes. Dans un tel cas, où le regroupement familial ne peut être que partiel,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de l'étranger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citées). Le fait qu'un enfant vienne en Suisse peu avant sa majorité, alors qu'il a longtemps vécu séparément de celui de ses parents établi en Suisse, constitue généralement un indice d'abus du droit conféré par l' art. 17 al. 2 3 ème phrase LSEE.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(cf. ATF 126 II 329 consid. 2b p. 330; 125 II 585 consid. 2A p. 587; 119 Ib 81 consid. 3a p. 88; 118 Ib 153 consid. 2b p. 159 s.).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d'un autre côté, la jurisprudence rendue à propos des art. 17 al. 2 LSEE et 8 CEDH ne doit pas conduire à n'accepter le regroupement familial que dans les cas où aucune alternative ne s'offre pour la prise en charge de l'enfant dans son pays d'origine (cf. ATF 126 II 329 consid. 3a p. 332; 125 II 633 consid. 3a p. 640 s.).</w:t>
      </w:r>
    </w:p>
    <w:p>
      <w:r>
        <w:rPr>
          <w:b/>
        </w:rPr>
        <w:t>E. 3.2</w:t>
      </w:r>
    </w:p>
    <w:p>
      <w:r>
        <w:t>Dans le cas particulier, le recourant a quitté la Yougoslavie en mars 1988. Alors âgés de respectivement 5 ans, 2 ½ et 5 mois, ses fils B.________, C.________ et D.________ ont d'abord été élevés par leur mère puis, à la suite du divorce de leurs parents en 1993, par leur grand-mère paternelle jusqu'au décès de cette dernière le 28 septembre 1998; dès ce moment, ils ont été confiés à la garde d'un oncle du côté paternel. Bien qu'il ait été investi de l'autorité parentale en 1993 déjà, ce n'est que sept ans plus tard que le recourant a déposé pour la première fois une demande de regroupement familial (en faveur de son fils B.________). Il explique que jusqu'au décès de sa mère, qui était à même de prendre soin des enfants, le regroupement familial n'était "pas d'actualité". C'est donc délibérément que le recourant a décidé que ses enfants seraient scolarisés et élevés en Yougoslavie et qu'ils s'y créeraient leurs attaches affectives, sociales et culturelles. D'ailleurs, alors qu'il a sollicité, de 1992 à 1995, l'octroi de nombreux visas touristiques pour permettre à des amis ou parents de lui rendre visite en Suisse, y compris aux enfants de sa belle-soeur, le recourant n'a jamais cherché à accueillir ses enfants dans son pays d'adoption, montrant par là qu'il ne ressentait pas le besoin de leur faire découvrir son nouveau cadre de vie. Par ailleurs, après le décès de sa mère en septembre 1998, le recourant a attendu près d'une année et demie avant de déposer la première demande de regroupement familial pour son fils B.________ (en mars 2000 ) et plus de deux ans pour présenter la demande litigieuse (en novembre 2000), bien que ses conditions sociales, professionnelles et familiales fussent pourtant déjà les mêmes deux ans auparavant. Le recourant a certes justifié la tardiveté de sa demande de regroupement familial par le souci de ne pas bouleverser le cycle scolaire de son fils B.________. Cela ne fait toutefois que confirmer qu'il a librement choisi, pour le bien de son fils, que celui-ci achève sa scolarité en Yougoslavie et s'y crée ainsi ses points d'ancrage les plus forts. Au vu de ces circonstances, c'est donc indiscutablement avec leur pays d'origine, où ils ont vécu depuis leur naissance, que les fils du recourant entretiennent les liens les plus étroits. Leur mère, leur frère aîné et leur proche parenté y résident. Aujourd'hui âgé de plus de 18 ans, B._________ peut en outre y poursuivre sa formation professionnelle grâce au soutien financier de son père; quant à ses deux frères cadets, ils sont encore en âge de scolarité et leur venue en Suisse, dans un environnement culturel et linguistique différent, constituerait un déracinement social et familial qui les exposerait certainement, compte tenu notamment de leur âge, à des difficultés d'intégration importantes. Il entraînerait en outre une division encore plus marquée de la famille, conséquence qui va en sens contraire du but visé par l' art. 17 al. 2 3 ème phrase LSEE. Par ailleurs, le refus de la demande de regroupement familial n'empêche nullement le maintien des liens familiaux existants. Certes le recourant fait valoir que son frère ne serait plus capable de s'occuper de ses fils. Dans une déclaration écrite du 10 janvier 2001, l'intéressé ne fait toutefois état d'aucune circonstance particulière qui justifierait cette incapacité mais se borne à mentionner, de manière générale, les conditions de vie difficiles régnant en Yougoslavie et les possibilités limitées pour son frères de continuer à s'occuper de ses neveux. Le recourant n'établit ainsi pas l'existence d'un intérêt prépondérant à voir les relations familiales se modifier dans le sens qu'il souhaiterait. A vrai dire, ce sont essentiellement des raisons de convenances personnelles et matérielles qui ont déterminé le dépôt de la demande litigieuse, le recourant souhaitant avant tout faire bénéficier ses enfants de conditions de vie plus favorables et leur assurer une formation et un avenir professionnel meilleur que dans son pays d'origine. Or de tels motifs, aussi honorables soient-ils, ne sauraient être pris en considération dans l'application des art. 17 al. 2 LSEE et 8 CEDH, car ces dispositions visent en priorité à permettre la vie en commun de l'ensemble de la famille.</w:t>
      </w:r>
    </w:p>
    <w:p>
      <w:r>
        <w:rPr>
          <w:b/>
        </w:rPr>
        <w:t>E. 4</w:t>
      </w:r>
    </w:p>
    <w:p>
      <w:r>
        <w:t>Vu ce qui précède, le recours doit être rejeté. Succombant, le recourant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