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2A.356/2000 vom 13. November 2000</w:t>
      </w:r>
    </w:p>
    <w:p>
      <w:r>
        <w:t>Bundesgericht, 2000-11-13, FR</w:t>
      </w:r>
    </w:p>
    <w:p>
      <w:r>
        <w:rPr>
          <w:b/>
        </w:rPr>
        <w:t xml:space="preserve">Quelle: </w:t>
      </w:r>
      <w:r>
        <w:t>https://mcp.opencaselaw.ch/entscheid/bger_2A.356_2000</w:t>
      </w:r>
    </w:p>
    <w:p>
      <w:r>
        <w:t>FR: TF 2A.356/2000 du 13 novembre 2000</w:t>
      </w:r>
    </w:p>
    <w:p>
      <w:r>
        <w:t>IT: TF 2A.356/2000 del 13 novembre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II 497 consid. 1a p. 499). a) 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 X.________ est marié avec une Suissesse. Le recours est donc recevable au regard de la disposition précitée, le point de savoir s'il faut délivrer une autorisation de séjour à l'intéressé relevant du fond ( ATF 124 II 289 consid. 2b p. 291). b) D'après l' art. 103 lettre a OJ , quiconque est atteint par la décision attaquée et a un intérêt digne de protection à ce qu'elle soit annulée ou modifiée a qualité pour recourir. La qualité pour recourir est donnée au justiciable touché plus que quiconque ou que la généralité des administrés dans ses intérêts économiques, matériels ou idéaux. En principe, seul peut former un recours de droit administratif celui qui apparaît formellement atteint, c'est-à-dire celui qui a participé à la procédure devant l'instance inférieure et dont les conclusions déposées alors ont été totalement ou partiellement écartées ( ATF 118 Ib 356 consid. 1a p. 359). La qualité pour recourir de X.________ ne fait pas de doute. En revanche, il convient de dénier la qualité pour agir à dame X.________ qui n'a pas participé à la procédure devant le Tribunal administratif. Ainsi, le recours est irrecevable dans la mesure où il émane de dame X.________. c)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121 II 97 consid. 1c p. 99). En outre, le Tribunal fédéral ne peut pas revoir l'opportunité de l'arrêt entrepris, le droit fédéral ne prévoyant pas un tel examen en la matière (art. 104 lettre c ch. 3 OJ).</w:t>
      </w:r>
    </w:p>
    <w:p>
      <w:r>
        <w:rPr>
          <w:b/>
        </w:rPr>
        <w:t>E. 3</w:t>
      </w:r>
    </w:p>
    <w:p>
      <w:r>
        <w:t>Le recourant reproche au Tribunal administratif d'avoir statué sans avoir procédé à son audition ni à celle de quatre témoins dont sa femme. Il considère que l'autorité intimée a commis une violation de son droit d'être entendu qui aurait entraîné une constatation incomplète des faits pertinents. a) Le droit d'être entendu, garanti constitutionnellement,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124 II 132 consid. 2b p. 137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b) Dans son recours cantonal, l'intéressé faisait essentiellement valoir la naissance de son fils, sa rupture avec les stupéfiants et le milieu de la drogue ainsi que la renonciation, dans le jugement précité du 19 avril 1999, à une mesure d'expulsion; il se référait à des pièces sur ces deux derniers points. Il demandait aussi les auditions susmentionnées, sans toutefois préciser sur quoi il désirait qu'elles portent ni ce qu'il voulait prouver par là. Le 10 avril 2000, le Tribunal administratif a fait savoir aux parties qu'il ne procéderait pas aux auditions requises, les éléments du dossier permettant de contrôler l'exercice du pouvoir d'appréciation du Service cantonal. Compte tenu des circonstances, il pouvait s'estimer suffisamment renseigné par les pièces du dossier dont il disposait pour écarter les auditions sollicitées par une appréciation anticipée des preuves. D'ailleurs, il a notamment pris en considération les événements survenus depuis son arrêt du 18 décembre 1998, soit le jugement précité du 19 avril 1999 et la naissance du fils du recourant, et il a procédé à une pesée des intérêts en présence. Ainsi, l'autorité intimée n'a pas violé le droit d'être entendu de l'intéressé ni établi les faits de façon manifestement inexacte ou incomplète, de sorte que les griefs du recourant doivent être rejetés. c) Vu ce qui précède, le Tribunal fédéral est lié par les faits constatés dans l'arrêt entrepris. Il doit par conséquent rejeter la requête d'auditions présentée par l'intéressé.</w:t>
      </w:r>
    </w:p>
    <w:p>
      <w:r>
        <w:rPr>
          <w:b/>
        </w:rPr>
        <w:t>E. 4</w:t>
      </w:r>
    </w:p>
    <w:p>
      <w:r>
        <w:t>Le recourant se plaint de violations des art. 7 al. 1 LSEE et 8 CEDH, estimant que le refus de lui délivrer une autorisation de séjour est disproportionné et procède d'un excès du pouvoir d'appréciation. Il invoque des circonstances familiales. Il fait aussi valoir que, dans son jugement du 19 avril 1999, le Tribunal correctionnel aurait voulu lui laisser une chance de faire ses preuves en Suisse. a) On peut douter que le recourant puisse se prévaloir de l' art. 8 par. 1 CEDH . En effet, une autorisation de séjour fondée sur cette disposition présuppose une relation étroite et effective entre un étranger et une personne de sa famille ayant un droit de présence en Suisse ( ATF 125 II 633 consid. 2e p. 639). Or, un tel lien est exclu dans le cas particulier, puisque l'intéressé est en détention ( ATF 118 Ib 145 consid. 4b p. 152; cf. aussi l'arrêt non publié du 8 mai 2000 en la cause Stocker, consid. 4c). De toute façon, la pesée des intérêts qui doit intervenir au regard de l' art. 7 LSEE n'est pas différente de celle à opérer selon l' art. 8 CEDH . b) Selon l' art. 7 al. 1 LSEE , le droit du conjoint étranger d'un ressortissant suisse à l'octroi et à la prolongation d'une autorisation de séjour s'éteint lorsqu'il existe un motif d'expulsion. D'après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Cependant, l'expulsion n'est ordonnée que si elle paraît appropriée à l'ensemble des circonstances ( art. 11 al. 3 LSEE ) et qu'elle respecte le principe de la proportionnalité ( ATF 116 Ib 113 consid. 3c p. 117); pour apprécier ce qui est équitable, l'autorité doit tenir compte notamment de la gravité de la faute commise par l'étranger, de la durée de son séjour en Suisse et du préjudice qu'il aurait à subir avec sa famille du fait de l'expulsion (art. 16 al. 3 du règlement d'exécution du 1er mars 1949 de la LSEE - RSEE; RS 142. 201). Le refus d'octroyer une autorisation de séjour au conjoint étranger d'un ressortissant suisse condamné pour crime ou délit, respectivement le refus de la prolonger, suppose de même une pesée des intérêts en présence ( ATF 120 Ib 6 consid. 4a p. 13). Cela résulte en particulier de la référence, contenue dans l' art. 7 al. 1 LSEE , à un motif d'expulsion de l' art. 10 al. 1 LSEE . Pour procéder à cette pesée des intérêts, l'autorité de police des étrangers s'inspire de considérations différentes de celles qui guident l'autorité pénale. Ainsi, la décision du juge pénal d'ordonner ou non l'expulsion d'un condamné étranger en application de l' art. 55 CP , ou de l'ordonneren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 En l'espèce, il existe au moins un motif d'expulsion, puisque l'intéressé s'est rendu coupable de "crime ou délit" ( art. 10 al. 1 lettre a LSEE ). Dès lors, il convient d'examiner si l'arrêt attaqué est justifié sur la base des intérêts en présence. Le recourant, qui a été refoulé en Tunisie en 1989 après avoir séjourné irrégulièrement en Suisse, y est revenu en 1990 et n'a pas tardé à adopter un comportement délictueux qui lui a valu différentes condamnations à partir du 10 octobre 1991. C'est le Tribunal correctionnel qui lui a infligé les peines privatives de liberté les plus lourdes: quinze mois et deux ans d'emprisonnement par jugements des 21 décembre 1993 et 19 avril 1999. Ces peines sanctionnaient en particulier des infractions graves à la loi sur les stupéfiants. Dans le jugement précité du 19 avril 1999, il a été retenu que l'intéressé avait mis sur le marché quelque 315 g d'héroïne et 50 g de cocaïne, soit des quantités de drogue impressionnantes selon les termes du Tribunal correctionnel.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qui s'est rendu coupable d'infraction grave à la loi sur les stupéfiants. Les étrangers qui sont mêlés au commerce des stupéfiants doivent donc s'attendre à faire l'objet de mesures d'éloignement (arrêt non publié du 26 février 1998 en la cause Mustafa, consid. 5b). Par ailleurs, la durée du séjour du recourant en Suisse n'est pas déterminante. Il est arrivé en Suisse le 7 avril 1990 et a été refoulé en Tunisie le 17 juillet 1997, mais il a passé une partie de ce temps en détention. De plus, il est incarcéré depuis le 19 avril 1999. Au demeurant, il n'y a pas lieu de prendre en considération le temps qu'il a passé irrégulièrement en Suisse. En outre, on ne saurait suivre l'intéressé dans sa façon de comprendre le jugement susmentionné du 19 avril 1999. Certes, le Tribunal correctionnel a dit que le recourant lui avait donné le sentiment de vouloir tirer un trait sur son passé et semblait avoir rompu définitivement avec la drogue. Toutefois, le Tribunal correctionnel a aussi relevé la gravité des infractions commises par l'intéressé, la récidive, la réitération en cours d'enquête et les renseignements de moralité défavorables. Enfin, il a estimé "superfétatoire d'ordonner une nouvelle mesure d'expulsion vu la décision administrative d'interdiction d'entrée et de séjour en Suisse frappant l'accusé". Ce n'est donc pas pour laisser une chance à l'intéressé de faire ses preuves en Suisse que le Tribunal correctionnel a renoncé à prononcer son expulsion. Par ailleurs, l'argument que le recourant tire de la naissance de son fils n'est pas décisif. Il n'est pas exclu que cet enfant l'aide un jour à trouver un certain équilibre, mais il s'agit en l'état d'un élément d'autant plus hypothétique que l'intéressé a toujours vécu en prison depuis que son fils est né. Quant à la situation de la femme du recourant, le Tribunal administratif l'a déjà examinée dans son arrêt du 18 décembre 1998. Il a alors retenu, à juste titre, qu'en épousant l'intéressé, sa femme avait accepté le risque de devoir vivre sa vie de couple à l'étranger. Au surplus, elle savait que ce ne serait pas sans incidence pour l'enfant qu'elle avait eu d'un mariage antérieur. d) Il apparaît dès lors que l'intérêt public qu'il y a à éloigner de Suisse le recourant l'emporte sur l'intérêt privé de ce dernier et de sa famille à pouvoir vivre ensemble dans ce pays. Ainsi, l'autorité intimée a procédé à une pesée des intérêts en présence qui n'est pas critiquable. Elle n'a pas violé le droit fédéral ni excédé son pouvoir d'appréciation.</w:t>
      </w:r>
    </w:p>
    <w:p>
      <w:r>
        <w:rPr>
          <w:b/>
        </w:rPr>
        <w:t>E. 5</w:t>
      </w:r>
    </w:p>
    <w:p>
      <w:r>
        <w:t>Vu ce qui précède, le recours doit être rejeté dans la mesure où il est recevable. Les conclusions des recourants étaient dénuées de toutes chances de succès, de sorte qu'il convient de leur refuser l'assistance judiciaire partielle ( art. 152 al. 1 OJ ). Succombant, les recourants doivent supporter les frais judiciaires, qui seront fixés compte tenu de leur situation financière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