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2A.348/2005 vom 21. Oktober 2005</w:t>
      </w:r>
    </w:p>
    <w:p>
      <w:r>
        <w:t>Bundesgericht, 2005-10-21, DE</w:t>
      </w:r>
    </w:p>
    <w:p>
      <w:r>
        <w:rPr>
          <w:b/>
        </w:rPr>
        <w:t xml:space="preserve">Quelle: </w:t>
      </w:r>
      <w:r>
        <w:t>https://mcp.opencaselaw.ch/entscheid/bger_2A.348_2005</w:t>
      </w:r>
    </w:p>
    <w:p>
      <w:r>
        <w:t>FR: TF 2A.348/2005 du 21 octobre 2005</w:t>
      </w:r>
    </w:p>
    <w:p>
      <w:r>
        <w:t>IT: TF 2A.348/2005 del 21 ottobre 2005</w:t>
      </w:r>
    </w:p>
    <w:p>
      <w:pPr>
        <w:pStyle w:val="Heading2"/>
      </w:pPr>
      <w:r>
        <w:t>Regeste</w:t>
      </w:r>
    </w:p>
    <w:p>
      <w:r>
        <w:t>Ausweisung | Bürgerrecht und Ausländerrecht</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e contrario; BGE 114 Ib E. 1a S. 2), und der Beschwerdeführer ist hierzu legitimiert ( Art. 103 lit. a OG ).</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Die Niederlassungsbewilligung erlischt u.a. mit der Ausweisung ( Art. 9 Abs. 3 lit. b ANAG ). Gemäss Art. 10 Abs. 1 lit. a ANAG kann ein Ausländer aus der Schweiz ausgewiesen werden, wenn er wegen eines Verbrechens oder Vergehens gerichtlich bestraft wurde. Die Ausweisung soll jedoch nur ausgesprochen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Ob eine Ausweisung im Sinne der Art. 11 Abs. 3 ANAG und Art. 16 Abs. 3 ANAV "angemessen", d.h. verhältnismässig ist, ist eine Rechtsfrage, die vom Bundesgericht im Verfahren der Verwaltungsgerichtsbeschwerde frei geprüft wird ( Art. 104 lit. a OG ). Dem Bundesgericht ist es jedoch verwehrt, sein eigenes Ermessen - im Sinne einer Überprüfung der Zweckmässigkeit (Opportunität; vgl. 116 Ib 353 E. 2b) der Ausweisung - an die Stelle desjenigen der zuständigen kantonalen Behörde zu setzen ( BGE 125 II 105 E. 2a S. 107, mit Hinweisen).</w:t>
      </w:r>
    </w:p>
    <w:p>
      <w:r>
        <w:rPr>
          <w:b/>
        </w:rPr>
        <w:t>E. 2.2</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aber nicht ausgeschlossen. Entscheidend ist in jedem Fall die Verhältnismässigkeitsprüfung, die gestützt auf die gesamten wesentlichen Umstände des Einzelfalles vorzunehmen ist ( BGE 125 II 521 E.2b S.523f., mit Hinweisen).</w:t>
      </w:r>
    </w:p>
    <w:p>
      <w:r>
        <w:rPr>
          <w:b/>
        </w:rPr>
        <w:t>E. 2.3</w:t>
      </w:r>
    </w:p>
    <w:p>
      <w:r>
        <w:t>Sodann ist das in Art. 8 EMRK garantierte Recht auf Achtung des Familienlebens zu berücksichtigen: Hat ein Ausländer nahe Verwandte mit gefestigtem Anwesenheitsrecht in der Schweiz und ist diese familiäre Beziehung intakt und wird sie tatsächlich gelebt, dann kann es das in Art. 8 Ziff. 1 EMRK bzw. Art. 13 Abs. 1 BV garantierte Recht auf Achtung des Familienlebens verletzen, wenn ihm die Anwesenheit in der Schweiz untersagt wird ( BGE 129 II 193 E. 5.3.1). Nach Art.8 Ziff.2 EMRK darf eine Behörde in die Ausübung des Rechts nach Ziff.1 dieser Bestimmung nur eingreifen, wenn der Eingriff gesetzlich vorgesehen ist und in einer demokratischen Gesellschaft notwendig ist für die nationale oder öffentliche Sicherheit, für das wirtschaftliche Wohl des Landes, zur Aufrechterhaltung der Ordnung, zur Verhütung von Straftaten, zum Schutz der Gesundheit oder Moral oder zum Schutz der Rechte und Freiheiten anderer.</w:t>
      </w:r>
    </w:p>
    <w:p>
      <w:r>
        <w:rPr>
          <w:b/>
        </w:rPr>
        <w:t>E. 3</w:t>
      </w:r>
    </w:p>
    <w:p>
      <w:r>
        <w:t>Das Verwaltungsgericht hat vorliegend gestützt auf die von ihm herangezogenen Bestimmungen des Bundesrechts wie auch gestützt auf die bundesgerichtliche Rechtsprechung die Zulässigkeit der verfügten Ausweisung zu Recht bejaht. Das im hohen Strafmass zum Ausdruck kommende Verschulden bei den zum Nachteil der geschiedenen Ehefrau begangenen schweren Sexualdelikten sowie der Umstand, dass der Beschwerdeführer auch darüber hinaus noch mehrfach und über einen längeren Zeitraum hinweg in erheblicher Weise straffällig geworden ist (vgl. vorne "A."), begründen ein gewichtiges öffentliches Interesse an der Fernhaltung des Beschwerdeführers, welches durch die geltend gemachten gegenläufigen Interessen nicht aufgewogen wird. Das Verwaltungsgericht hat zu Recht festgehalten, dass die Ausweisung nicht unverhältismässig erscheint: Der Beschwerdeführer reiste 1991 im Alter von 28 Jahren in die Schweiz ein und kann damit nicht als Ausländer der "zweiten Generation" eingestuft werden (vgl. BGE 122 II 433 E. 2c mit Hinweisen). Er hat nicht nur seine Kindheit und Jugend, sondern auch einen beträchtlichen Teil seines Erwachsenenlebens im Heimatland verbracht, wohin er noch heute regelmässige Kontakte pflegt. Andererseits ist der Beschwerdeführer, der erwerbslos ist und von einer Invalidenrente lebt, "nicht in besonderer Weise in der Schweiz integriert" (vgl. S. 9 unten des angefochtenen Entscheides). Die Rückkehr in sein Heimatland ist ihm somit zumutbar. Es liegt auch keine Verletzung von Art. 8 EMRK vor. Gemäss den verbindlichen tatsächlichen Feststellungen des Verwaltungsgerichts besteht zwischen dem Beschwerdeführer und seinem Sohn "seit mehr als zwei Jahren keine regelmässige und intakte Beziehung mehr" (S.10 des angefochtenen Entscheides). Ob sich der Beschwerdeführer damit überhaupt (noch) auf Art. 8 EMRK berufen kann, ist fraglich, kann aber offen bleiben, da sich ein Eingriff in das von dieser Bestimmung geschützte Rechtsgut gestützt auf Art. 8 Ziff. 2 EMRK auf jeden Fall rechtfertigt (vgl. E. 2.3). Die gegen den Beschwerdeführer ausgesprochene Ausweisung lässt sich nach dem Gesagten im Ergebnis nicht beanstanden; sie ist sowohl mit den Normen des ANAG als auch mit Art. 8 EMRK vereinbar.</w:t>
      </w:r>
    </w:p>
    <w:p>
      <w:r>
        <w:rPr>
          <w:b/>
        </w:rPr>
        <w:t>E. 4</w:t>
      </w:r>
    </w:p>
    <w:p>
      <w:r>
        <w:t>Zu prüfen bleibt, ob das angefochtene Urteil den in Art. 12 des Übereinkommens über die Rechte der Kinder (Kinderrechtekonvention, KRK; SR 0.107) festgehaltenen Gehörsanspruch verletzt, wie dies in der Verwaltungsgerichtsbeschwerde geltend gemacht wird.</w:t>
      </w:r>
    </w:p>
    <w:p>
      <w:r>
        <w:rPr>
          <w:b/>
        </w:rPr>
        <w:t>E. 4.1</w:t>
      </w:r>
    </w:p>
    <w:p>
      <w:r>
        <w:t>Art. 12 der Kinderrechtekonvention lautet: -:- 1 Die Vertragsstaaten sichern dem Kind, das fähig ist, sich eine eigene Meinung zu bilden, das Recht zu, diese Meinung in allen das Kind berührenden Angelegenheiten frei zu äussern, und berücksichtigen die Meinung des Kindes angemessen und entsprechend seinem Alter und seiner Reife. 2 Zu diesem Zweck wird dem Kind insbesondere Gelegenheit gegeben, in allen das Kind berührenden Gerichts- oder Verwaltungsverfahren entweder unmittelbar oder durch einen Vertreter oder eine geeignete Stelle im Einklang mit den innerstaatlichen Verfahrensvorschrifen gehört zu werden. Art. 12 KRK ist unmittelbar anwendbar ( BGE 124 III 90 E. 3a). Die Anhörung ist ein Persönlichkeitsrecht des Kindes (vgl. Andrea Staubli, in: Kinderrechte - Kinderschutz, Basel 2002, S. 93), welches grundsätzlich auch in fremdenpolizeilichen Verfahren, die das Kind "berühren", zu beachten ist (vgl. BGE 124 II 361 E. 3c S. 368 mit Hinweisen). Die Anhörung muss nicht notwendigerweise in jedem Fall mündlich erfolgen, sondern es kann genügen, wenn der Standpunkt des Kindes sonstwie in tauglicher Weise, zum Beispiel durch eine Eingabe seines Vertreters, Eingang in das Verfahren gefunden hat ( BGE 124 II 361 E. 3c S. 368 mit Hinweisen, Urteil 1P.549/2001 vom 11. Januar 2002, in Pra 2002 Nr. 99 S. 571 ff.).</w:t>
      </w:r>
    </w:p>
    <w:p>
      <w:r>
        <w:rPr>
          <w:b/>
        </w:rPr>
        <w:t>E. 4.2</w:t>
      </w:r>
    </w:p>
    <w:p>
      <w:r>
        <w:t>Das Verwaltungsgericht erachtete diese Konventionsgarantie im Bereich des Ausländerrechts nur für Verfahren anwendbar, in denen über den Aufenthaltsort des Kindes oder einer Betreuungsperson zu befinden ist, nicht dagegen bei der Ausweisung eines nicht sorgeberechtigten Elternteils. Der Beschwerdeführer misst diesem konventionsrechtlichen Gehörsanspruch eine weiter gehende Tragweite bei; er müsse bei allen das Kindesinteresse berührenden Anordnungen beachtet werden. Vorliegend werde der Sohn durch die Ausweisung des Vaters in seinen Interessen berührt, indem die künftigen Kontaktmöglichkeiten zum Vater auf dem Spiele stünden.</w:t>
      </w:r>
    </w:p>
    <w:p>
      <w:r>
        <w:rPr>
          <w:b/>
        </w:rPr>
        <w:t>E. 4.3</w:t>
      </w:r>
    </w:p>
    <w:p>
      <w:r>
        <w:t>Träger der Konventionsgarantie von Art. 12 KRK ist das Kind, welches diesen Anspruch selber oder durch seinen gesetzlichen Vertreter geltend machen kann (Urteil 2P.7/2001 vom 5. Dezember 2001, E. 1d). Dem Beschwerdeführer kann aber im vorliegenden verwaltungsgerichtlichen Beschwerdeverfahren ein schutzwürdiges eigenes Interesse im Sinne von Art. 103 lit. a OG an der Befolgung dieser Verfahrensvorschrift bzw. an der Einhaltung der seinem Sohn zustehenden Konventionsgarantie nicht abgesprochen werden, weshalb auf die aufgeworfene Frage einzutreten ist.</w:t>
      </w:r>
    </w:p>
    <w:p>
      <w:r>
        <w:rPr>
          <w:b/>
        </w:rPr>
        <w:t>E. 4.4</w:t>
      </w:r>
    </w:p>
    <w:p>
      <w:r>
        <w:t>Der Wortlaut von Art. 12 Abs. 1 KRK - "in allen das Kind berührenden Angelegenheiten" - lässt für die Bestimmung des Anwendungsbereiches dieses speziellen konventionsrechtlichen Gehörsanspruches einen Beurteilungsspielraum offen. Der Anspruch setzt zunächst voraus, dass das Kind überhaupt fähig ist, sich eine eigene Meinung zu bilden. Sodann können die Interessen eines Kindes in vielerlei Verwaltungs- und Gerichtsverfahren in irgend einer Weise "berührt" sein, ohne dass sich deswegen eine Anhörung des Kindes sachlich rechtfertigen würde. Der konventionsrechtliche Anhörungsanspruch muss sich vernünftigerweise auf Verfahren beschränken, in denen persönlichkeitsrelevante essentielle eigene Interessen des Kindes unmittelbar auf dem Spiele stehen, wie dies insbesondere etwa bei Trennung des Kindes von seiner Familie (vgl. Art. 314 ZGB [Verfahren bei Kindesschutzmassnahmen]) oder beim Entscheid über das Sorgerecht bei Ehescheidung (vgl. Art. 144 ZGB ) der Fall ist. Im Ausländerrecht kann dieser Anspruch namentlich in Verfahren zum Zuge kommen, in denen das Aufenthaltsrecht eines Kindes oder einer für es sorgenden Betreuungsperson in Frage steht. Wenn es sich um eine lebendige und wichtige persönliche Beziehung handelt, kann allenfalls auch die drohende Unterbrechung oder Erschwerung der Kontaktmöglichkeiten mit einem nicht betreuungsberechtigten Elternteil oder sonstigen Familienmitglied die Interessen des Kindes derart berühren, dass diesem aufgrund von Art. 12 Abs. 1 KRK eine Äusserungsmöglichkeit eingeräumt werden muss.</w:t>
      </w:r>
    </w:p>
    <w:p>
      <w:r>
        <w:rPr>
          <w:b/>
        </w:rPr>
        <w:t>E. 4.5</w:t>
      </w:r>
    </w:p>
    <w:p>
      <w:r>
        <w:t>Gemäss den verbindlichen Feststellungen des Verwaltungsgerichts (vgl. E. 1.2) ist der Kontakt des Beschwerdeführers zu seinem Sohn "seit mehreren Jahren unterbrochen" (S. 8 des angefochtenen Entscheides); es besteht zwischen den beiden, wie ausgeführt (E. 3), seit mehr als zwei Jahren keine regelmässige und intakte Beziehung mehr. Wiewohl der Beschwerdeführer selber an einem Wiederaufleben der Beziehung zu seinem Sohn ernsthaft interessiert sein mag und auch für das Kind die Aufrechterhaltung der Kontaktmöglichkeiten zum Vater trotz des gespannten Verhältnisses zwischen den Eltern nicht zum Vornherein jeder Bedeutung entbehren dürfte, konnte das Verwaltungsgericht unter den geschilderten Umständen vertretbarerweise annehmen, die persönlichen Interessen des Kindes seien nicht in einer Weise unmittelbar betroffen, dass dessen Anhörung konventionsrechtlich gefordert gewesen wäre.</w:t>
      </w:r>
    </w:p>
    <w:p>
      <w:r>
        <w:rPr>
          <w:b/>
        </w:rPr>
        <w:t>E. 5</w:t>
      </w:r>
    </w:p>
    <w:p>
      <w:r>
        <w:t>Der Verzicht auf eine Einvernahme des Kindes lässt sich auch beweisrechtlich nicht beanstanden. Der Richter kann das Beweisverfahren schliessen, wenn er aufgrund bereits abgenommener Beweise seine Überzeugung gebildet hat und er ohne Willkür in vorweggenommener Beweiswürdigung annehmen kann, dass diese seine Überzeugung durch weitere Beweiserhebungen nicht geändert würde ( BGE 122 II 464 E. 4a). Vorliegend war dem Verwaltungsgericht der Umstand, dass im Rahmen eines Verfahrens betreffend Abänderung des Scheidungsurteils "im Frühjahr 2005" ein Gespräch zwischen Vater und Sohn stattfinden sollte, bekannt. Das Gericht durfte aufgrund antizipierter Beweiswürdigung sowie der gegebenen Rechtslage jedoch zulässigerweise davon ausgehen, dass den allfälligen Aussagen des Sohnes nichts zu entnehmen wäre, was das Ergebnis der vorgenommenen Interessenabwägung wesentlich zu beeinflussen bzw. zu ändern vermöchte.</w:t>
      </w:r>
    </w:p>
    <w:p>
      <w:r>
        <w:rPr>
          <w:b/>
        </w:rPr>
        <w:t>E. 6</w:t>
      </w:r>
    </w:p>
    <w:p>
      <w:r>
        <w:t>Zu beurteilen bleibt die mitangefochtene Verweigerung der unentgeltlichen Rechtspflege und des unentgeltlichen Rechtsbeistandes im Verfahren vor dem Verwaltungsgericht. Der Beschwerdeführer rügt, das Verwaltungsgericht habe die vorliegende Angelegenheit zu Unrecht als "aussichtslos" bezeichnet. Dem sei nicht so, zumal sehr wohl gute Gründe gegen die Ausweisung sprechen würden. Als aussichtslos sind nach der bundesgerichtlichen Rechtsprechung Prozessbegehren anzusehen, bei denen die Gewinnaussichten beträchtlich geringer sind als Verlustgefahren und die deshalb nicht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124 I 304 E. 2c S. 306 ; 122 I 267 E. 2b S. 271 mit Hinweisen). Der mitangefochtene Entscheid über die unentgeltliche Prozessführung hält sich an diese Kriterien der bundesgerichtlichen Praxis. Die für die Ausweisung massgebenden tatsächlichen und rechtlichen Argumente waren bereits im Beschluss des Regierungsrates vom 26. Januar 2005 in überzeugender Weise dargelegt, weshalb der Beschwerdeführer nicht ernsthaft damit rechnen konnte, dass seine Beschwerde vor Verwaltungsgericht erfolgreich sein würde. Dass bei der Handhabung der formellen Vorschrift von Art. 12 KRK noch gewisse präzisierungsbedürftige Unsicherheiten bestanden haben mögen, ändert nichts daran, dass die Beschwerde in der Sache - nämlich gegen die verfügte Ausweisung - aussichtslos war.</w:t>
      </w:r>
    </w:p>
    <w:p>
      <w:r>
        <w:rPr>
          <w:b/>
        </w:rPr>
        <w:t>E. 7</w:t>
      </w:r>
    </w:p>
    <w:p>
      <w:r>
        <w:t>Nach dem Gesagten ist die Verwaltungsgerichtsbeschwerde als unbegründet abzuweisen. Dem Gesuch um unentgeltliche Rechtspflege und Verbeiständung für das bundesgerichtliche Verfahren kann nicht entsprochen werden ( Art. 152 OG ), da die vorliegende Beschwerde ihrerseits keine ernsthaften Erfolgsaussichten hatte (vgl. E. 6). Entsprechend diesem Verfahrensausgang hat der Beschwerdeführer die bundesgerichtlichen Kosten zu tragen (Art. 156 in Verbindung mit Art. 153 und 153a OG ). Bei der Festsetzung der Gerichtsgebühr wird der finanziellen Lage des Beschwerdeführers Rechnung getragen ( Art. 153a Abs. 1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