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2A.341/2000 vom 14. März 2001</w:t>
      </w:r>
    </w:p>
    <w:p>
      <w:r>
        <w:t>Bundesgericht, 2001-03-14, DE</w:t>
      </w:r>
    </w:p>
    <w:p>
      <w:r>
        <w:rPr>
          <w:b/>
        </w:rPr>
        <w:t xml:space="preserve">Quelle: </w:t>
      </w:r>
      <w:r>
        <w:t>https://mcp.opencaselaw.ch/entscheid/bger_2A.341_2000</w:t>
      </w:r>
    </w:p>
    <w:p>
      <w:r>
        <w:t>FR: TF 2A.341/2000 du 14 mars 2001</w:t>
      </w:r>
    </w:p>
    <w:p>
      <w:r>
        <w:t>IT: TF 2A.341/2000 del 14 marzo 2001</w:t>
      </w:r>
    </w:p>
    <w:p>
      <w:pPr>
        <w:pStyle w:val="Heading2"/>
      </w:pPr>
      <w:r>
        <w:t>Regeste</w:t>
      </w:r>
    </w:p>
    <w:p>
      <w:r>
        <w:t>Bürgerrecht und Ausländerrecht</w:t>
      </w:r>
    </w:p>
    <w:p>
      <w:pPr>
        <w:pStyle w:val="Heading2"/>
      </w:pPr>
      <w:r>
        <w:t>Erwägungen</w:t>
      </w:r>
    </w:p>
    <w:p>
      <w:r>
        <w:rPr>
          <w:b/>
        </w:rPr>
        <w:t>E. 1</w:t>
      </w:r>
    </w:p>
    <w:p>
      <w:r>
        <w:t>Das Bundesgericht prüft vom Amtes wegen und mit freier Kognition die Zulässigkeit der bei ihm eingereichten Beschwerden ( BGE 126 I 81 E. 1 S. 83, mit Hinweisen). a) Das Bundesgericht beurteilt letztinstanzlich Verwaltungsgerichtsbeschwerden gegen Verfügungen, die sich auf öffentliches Recht des Bundes stützen oder stützen sollten ( Art. 97 Abs. 1 OG in Verbindung mit Art. 5 VwVG ; BGE 123 I 275 E. 2b S. 277). Der Haftrichter hat das Haftprüfungsverfahren gestützt auf § 109 des luzernischen Gesetzes über die Verwaltungsrechtspflege als erledigt erklärt, weil kein rechtserhebliches Interesse mehr an der gerichtlichen Beurteilung der Haft bestehe. Damit stützt sich die Erledigungserklärung (Ziff. 1 des angefochtenen Entscheids) auf kantonales Prozessrecht.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8, 9 oder 29 BV (früher: Art. 4 aBV ) verletzender Weise angewendet worden, ebenfalls mit Verwaltungsgerichtsbeschwerde geltend zu machen, und zwar selbst dann, wenn nicht eine Verletzung von materiellem Bundesrecht behauptet wird (vgl. BGE 123 I 275 E. 2c S. 277). Nichts anderes kann gelten, wenn nicht ein Nichteintretensentscheid angefochten wird, sondern eine Verfügung, mit welcher - wie hier - ein Verfahren als erledigt erklärt oder als gegenstandslos abgeschrieben wird. Wird die Rechtmässigkeit der Ausschaffungshaft nicht geprüft, könnte dadurch Bundesrecht vereitelt werden. In Bezug auf die Erledigungserklärung (Ziff. 1 der angefochtenen Verfügung) ist die Verwaltungsgerichtsbeschwerde daher zulässig. b) Das Verwaltungsgericht ist auf das Haftentschädigungsbegehren mangels sachlicher Zuständigkeit nicht eingetreten. Die Zuständigkeit für Entschädigungsprozesse ist eine Frage des kantonalen Rechts; es wird vom Bundesrecht nicht vorgegeben, welche Behörde innerhalb eines Kantons ein Entschädigungsbegehren im Zusammenhang mit der Ausschaffungshaft zu beurteilen hat. Soweit der Nichteintretensentscheid das Entschädigungsbegehren betrifft (Ziff. 2 des angefochtenen Entscheids), kommt daher die Verwaltungsgerichtsbeschwerde nicht in Betracht. An sich wäre subsidiär die staatsrechtliche Beschwerde zulässig; indessen fehlt es an einer entsprechenden Begründung, weshalb darauf nicht eingetreten werden kann ( Art. 90 Abs. 1 lit. b OG ).</w:t>
      </w:r>
    </w:p>
    <w:p>
      <w:r>
        <w:rPr>
          <w:b/>
        </w:rPr>
        <w:t>E. 2</w:t>
      </w:r>
    </w:p>
    <w:p>
      <w:r>
        <w:t>a) Gemäss Art. 98a Abs. 1 OG bestellen die Kantone richterliche Behörden als kantonale Instanzen, soweit gegen deren Entscheide unmittelbar die Verwaltungsgerichtsbeschwerde an das Bundesgericht zulässig ist. Nach Art. 98a Abs. 3 OG sind Beschwerdelegitimation und Beschwerdegründe mindestens im gleichen Umfang wie für die Verwaltungsgerichtsbeschwerde an das Bundesgericht zu gewährleisten. Gegen die Anordnung der Ausschaffungshaft durch die zuständige kantonale Behörde (vgl. Art. 13c Abs. 1 ANAG ) ist im Ausländergesetz keine Beschwerde vorgesehen; statt dessen ist eine richterliche Behörde von Gesetzes wegen verpflichtet, die Rechtmässigkeit und Angemessenheit der Haft nach spätestens 96 Stunden aufgrund einer mündlichen Verhandlung zu überprüfen ( Art. 13c Abs. 2 ANAG ). Die vom Beschwerdeführer am 21. Juni 2000 gegen die Haftanordnung der Fremdenpolizei erhobene Beschwerde war insofern unzulässig. Das ändert aber nichts daran, dass für die Frage, ob der kantonale Haftrichter die Rechtmässigkeit einer inzwischen dahingefallenen Ausschaffungshaft überprüfen muss, die vom Bundesgericht im Zusammenhang mit der Legitimationsfrage ( Art. 103 OG ) aufgestellten Grundsätze massgebend sind. b) Nach der Ausschaffung oder Freilassung hat ein Ausländer grundsätzlich kein aktuelles praktisches Interesse mehr an der Überprüfung des vorgängigen Haftentscheids ( Art. 103 lit. a OG ; vgl. BGE 123 II 285 ff.). Allfällige Schadenersatzansprüche lassen das aktuelle Interesse an der Prüfung des Haftentscheides nach der Rechtsprechung ebenfalls nicht fortbestehen, da das Staatshaftungsverfahren insofern hinreichend Schutz bietet, um angebliche Rechtsverletzungen - auch solche von Art. 5 Ziff. 1 - 4 EMRK - wirksam geltend zu machen (so zur Untersuchungshaft: BGE 125 I 394 E. 4a S. 397, mit Hinweisen; zur Ausschaffungshaft vgl. unveröffentlichten Beschluss vom 8. Mai 1998 i.S. Barry, E. 2a). Gemäss § 5 Abs. 4 der luzernischen Staatsverfassung gibt eine ungesetzliche Verhaftung dem Betroffenen Anspruch auf volle Entschädigung. Das Haftungsgesetz des Kantons Luzern vom 13. September 1988 verweist in § 7 für die Zuständigkeit und das Verfahren auf die Vorschriften der Zivilprozessordnung. Es ist nicht ersichtlich, inwieweit diese vom Kanton vorgesehene Möglichkeit eines Entschädigungsprozesses im Lichte von Art. 13 oder Art. 5 Ziff. 5 EMRK ungenügend sein sollte. Im Übrigen ist darauf hinzuweisen, dass schon die Ausschaffung als solche - die keiner richterlichen Prüfung unterliegt - einen Freiheitsentzug darstellt. Gegen allfällige Missbräuche behördlicher Art in diesem Bereich steht neben dem erwähnten Staatshaftungsverfahren der Rechtsbehelf der Aufsichtsbeschwerde zur Verfügung, von welchem der Beschwerdeführer bzw. sein Rechtsvertreter denn auch Gebrauch gemacht hat. c) Das Bundesgericht verzichtet sowohl bei Verwaltungsgerichtsbeschwerden als auch bei staatsrechtlichen Beschwerden ausnahmsweise auf das Erfordernis des aktuellen praktischen Interesses, wenn sich eine gerügte Rechtsverletzung jederzeit wiederholen könnte und eine rechtzeitige gerichtliche Überprüfung im Einzelfall kaum je möglich wäre (vgl. BGE 111 Ib 56 E. 2b S. 59, mit Hinweisen; für die staatsrechtliche Beschwerde vgl. BGE 126 I 250 E. 1b S. 252, mit Hinweisen). Nach der Ausschaffung oder Freilassung besteht für das Bundesgericht regelmässig kein Anlass, ausnahmsweise auf dieses Erfordernis zu verzichten: Die Ausschaffungshaft kann bis zu drei Monaten dauern und um höchstens sechs Monate verlängert werden ( Art. 13b Abs. 2 ANAG ). In diesem zeitlichen Rahmen ist es dem Bundesgericht ohne weiteres möglich, auch grundsätzliche Fragen zu den Haftvoraussetzungen zu prüfen (vgl. unveröffentlichter Beschluss vom 8. Mai 1998 i.S. Barry zu den Haftbedingungen). Dasselbe gilt hier für den Haftrichter: da die Ausschaffungshaft in vielen Fällen länger als 96 Stunden dauert, kann der Haftrichter die Grundsatzfragen, die sich im Zusammenhang mit der Problematik der Untertauchensgefahr stellen, im Rahmen von anderen Haftverfahren überprüfen. Die vom Beschwerdeführer aufgeworfene Problematik rund um den Bundesratsbeschluss betreffend Aufhebung der vorläufigen Aufnahme für eine bestimmte Volksgruppe sowie dessen angeblich mangelhafte Eröffnung beschlägt die Frage, ob in diesem Fall der Vollzug des ursprünglichen - durch die vorläufige Aufnahme nicht formell aufgehobenen - Wegweisungsentscheids allenfalls aus rechtlichen Gründen undurchführbar ist (vgl. Art. 13c Abs. 5 lit. a ANAG ). Auch diese Frage kann der Haftrichter überprüfen, sobald sie sich im Verfahren eines Ausschaffungshäftlings stellt, der nach 96 Stunden noch nicht ausgeschafft ist. d) Der Haftrichter war daher nicht verpflichtet, im vorliegenden Fall auf das Erfordernis des aktuellen praktischen Interesses zu verzichten; er durfte das Haftprüfungsverfahren als erledigt erklären.</w:t>
      </w:r>
    </w:p>
    <w:p>
      <w:r>
        <w:rPr>
          <w:b/>
        </w:rPr>
        <w:t>E. 3</w:t>
      </w:r>
    </w:p>
    <w:p>
      <w:r>
        <w:t>Die Verwaltungsgerichtsbeschwerde ist nach dem Gesagten abzuweisen, soweit darauf einzutreten ist; auf die staatsrechtliche Beschwerde ist nicht einzutreten. Da die Verwaltungsgerichtsbeschwerde nicht als von vornherein aussichtslos gelten kann und die Bedürftigkeit des Beschwerdeführers gegeben erscheint, ist dem Gesuch um unentgeltliche Rechtspflege stattzugeben (vgl. Art. 152 Abs. 1 OG ). Es sind daher keine Gerichtskosten zu erheben. Der Beschwerdeführer verlangt sinngemäss auch die unentgeltliche Rechtsverbeiständung. Diesem Begehren kann nicht entsprochen werden, da nach dem Wortlaut von Art. 152 Abs. 2 OG nur Rechtsanwälte zu unentgeltlichen Rechtsbeiständen ernannt werden können. Vorliegend erfüllt der Vertreter diese Anforderung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