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2A.340/2001 vom 13. November 2001</w:t>
      </w:r>
    </w:p>
    <w:p>
      <w:r>
        <w:t>Bundesgericht, 2001-11-13, FR</w:t>
      </w:r>
    </w:p>
    <w:p>
      <w:r>
        <w:rPr>
          <w:b/>
        </w:rPr>
        <w:t xml:space="preserve">Quelle: </w:t>
      </w:r>
      <w:r>
        <w:t>https://mcp.opencaselaw.ch/entscheid/bger_2A.340_2001</w:t>
      </w:r>
    </w:p>
    <w:p>
      <w:r>
        <w:t>FR: TF 2A.340/2001 du 13 novembre 2001</w:t>
      </w:r>
    </w:p>
    <w:p>
      <w:r>
        <w:t>IT: TF 2A.340/2001 del 13 novembre 2001</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prévues par l'ordonnance limitant le nombre des étrangers ( ATF 122 II 403 consid. 1 p. 404/405; 119 Ib 33 consid. 1a p. 35). Déposé en temps utile et dans les formes prescrites par la loi, le présent recours est donc recevable en vertu des art. 97 ss OJ .</w:t>
      </w:r>
    </w:p>
    <w:p>
      <w:r>
        <w:rPr>
          <w:b/>
        </w:rPr>
        <w:t>E. 2</w:t>
      </w:r>
    </w:p>
    <w:p>
      <w:r>
        <w:t>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p. 99; 120 Ib 257 consid. 1f p. 262/263; 118 Ib 145 consid. 2b p. 148; 114 Ib 1 consid. 3b p. 4). Dans ces conditions, rien ne s'oppose en principe à la prise en considération des documents annexés par la recourante à son recours de droit administratif ainsi que ceux qu'elle a joints à une écriture complémentaire transmise le 28 août 2001, soit avant l'expiration du délai de recours (cf. ATF 115 II 213 consid. 2 p. 215/216; 113 Ib 327 con-sid. 2b p. 331 et les arrêts cités; Alfred Kölz/Isabelle Häner, Verwaltungsverfahren und Verwaltungsrechtspflege des Bundes, 2e éd., Zurich 1998, n. 940 ss p. 333 ss). En revanche, il ne sera pas tenu compte des pièces nouvelles que la recourante a produites spontanément le 10 octobre 2001, en dehors du délai de recours, sans qu'un second échange d'écritures n'ait été ordonné (cf. ATF 109 Ib 246 consid. 3c p. 249; 99 Ib 87 consid. 1 p. 89).</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w:t>
      </w:r>
    </w:p>
    <w:p>
      <w:r>
        <w:rPr>
          <w:b/>
        </w:rPr>
        <w:t>E. 4</w:t>
      </w:r>
    </w:p>
    <w:p>
      <w:r>
        <w:t>a) La recourante fait valoir que, bien qu'elle soit originaire du Burundi, elle a quitté à l'âge de douze ans ce pays dans lequel elle ne compte plus de famille depuis le décès de son père en 1993. Elle soutient que ses liens avec le Burundi sont ténus, au contraire de ceux qu'elle a noués depuis son arrivée en Suisse il y a maintenant plus de sept ans; à cet égard, elle souligne qu'elle a acquis une formation commerciale, qu'elle exerce un travail et qu'elle compte de nombreux membres de sa famille en Suisse. Elle ajoute qu'un retour au Burundi serait d'autant plus pénible pour elle que ce pays connaît une situation de "violence généralisée". De son côté, l'autorité intimée fait observer que la recourante est au bénéfice d'une admission provisoire individuelle, en insistant sur le fait que cette mesure "n'est pas prête d'être levée", de sorte que le refus de soustraire l'intéressée aux restrictions des nombres maximums ne lui serait, en définitive, pas véritablement préjudiciable. b) Cette dernière opinion n'est pas convaincante. Certes il est exact que les difficultés liées à la précarité même du statut d'une personne admise à titre provisoire (sentiment d'insécurité, fait de disposer de droits limités, difficultés à trouver un emploi. ..) ne conduisent pas, à elles seules, à la reconnaissance d'un cas de rigueur (cf. arrêts non publiés des 2 avril 2001 en la cause K.________ et 2 avril 1998 en la cause Z.________). Mais cela ne fait toutefois nullement obstacle à l'admission d'une demande fondée sur l'art. 13 lettre f OLE lorsque l'ensemble des - autres - circonstances du cas le justifie. C'est précisément ce qu'il convient d'examiner en l'espèce. c) L'argument de la recourante tiré de la situation politique et de l'insécurité qui règnent dans son pays ne lui est d'aucun secours, car l'étranger ne peut pas faire valoir de motifs relevant de l'asile dans le cadre de la procédure d'exemption aux mesures de limitations. En effet, l'art. 13 lettre f OLE ne tend pas à conférer une protection contre les conséquences de la guerre et les abus des autorités étatiques. Pour autant, cela n'exclut toutefois pas de tenir compte des difficultés qu'un étranger pourrait, en cas de retour dans son pays d'origine, rencontrer du point de vue personnel, familial et économique ( ATF 123 II 125 consid. 3 p. 128). A cet égard, la situation personnelle et familiale de la recourante, qui n'a plus de famille dans son pays d'origine depuis le décès de son père en 1993, ni d'ailleurs - à ce qu'il semble - au Rwanda (sa mère ainsi que ses frères et soeurs ont émigré en Suisse et au Canada), représente incontestablement une circonstance particulière dont il y a lieu de tenir compte dans l'appréciation de son cas. Toutefois, le fait de renvoyer dans son pays d'origine une femme qui n'a pas de famille n'est généralement, à lui seul, pas constitutif d'un cas d'extrême gravité (cf. arrêts non publiés des 24 octobre 1994 en la cause D.________ et 9 décembre 1994 en la cause N.________). Il faut encore que s'y ajoutent d'autres circonstances particulières qui rendent le retour extrêmement difficile (cf. arrêt non publié du 23 mars 1998 en la cause Y.________), comme par exemple une parfaite intégration en Suisse (cf. arrêt non publié du 31 mars 1994 en la cause N.________). En l'occurrence, outre que la réintégration de la recourante dans son pays d'origine serait très malaisée parce que celle-ci n'y compte plus de famille, un retour en Afrique serait d'autant plus pénible et douloureux qu'il obligerait l'intéressée à laisser derrière elle de nombreux membres de sa famille qui, selon ce qu'elle allègue - sans être contredite - entretiennent d'étroites relations avec elle et sont appelés à résider durablement en Suisse par suite de naturalisation (sa mère et une soeur) ou parce qu'ils sont au bénéfice d'autorisations de séjour (un frère et une tante) ou du statut de réfugié (un oncle). La recourante n'est donc pas dans une situation comparable à celles qui sont à la base des arrêts précités D.________ et N.________. Dans ces affaires, les intéressées n'avaient en effet pas de famille en Suisse de sorte que, si difficile que cela pût être pour elles de se retrouver seules dans leur pays d'origine, leur retour ne s'accompagnait pas, comme ce serait le cas pour la recourante, d'une rupture des liens avec de proches parents durablement établis en Suisse. De ce point de vue, une séparation de la recourante d'avec sa mère et ses frère et soeur, avec lesquels elle a partagé pendant longtemps les mêmes vicissitudes de l'existence, représenterait certainement, ainsi qu'elle le soutient, une rigueur excessive (cf. arrêt non publié du 24 avril 1998 en la cause C.________, consid. 3b). d) Par ailleurs, outre que les liens de la recourante avec son pays d'origine, le Burundi, sont relativement lâches en raison de l'absence de famille sur place, s'y ajoute le fait que l'intéressée n'y a vécu que durant ses années d'enfance (jusqu'à l'âge de douze ans), ayant quitté ce pays après le divorce de ses parents pour aller vivre avec sa mère au Rwanda jusqu'en avril 1994. Or, même si les modes de vie régnant dans ces deux pays d'Afrique centrale sont certainement comparables, il n'en demeure pas moins que les attaches que la recourante peut avoir avec son pays d'origine sont moindres que si elle y avait passé toute son enfance et son adolescence. Enfin, même si l'intégration de l'intéressée en Suisse ne peut être qualifiée d'exceptionnelle au sens où l'entend la jurisprudence (cf. arrêt non publié du 12 août 1996 en la cause J.________), elle n'en est pas moins irréprochable, tant sur le plan professionnel (en dépit des différences de niveau scolaire, la recourante a en effet obtenu un diplôme commercial quatre ans après son arrivée en Suisse et elle exerce depuis avril 1999 une activité de secrétaire) que personnel (la recourante vit de manière financièrement indépendante et son comportement n'a jamais donné lieu à des plaintes). e) Compte tenu de l'ensemble de ces circonstances, singulièrement du fait que la recourante n'a plus de famille dans son pays d'origine et qu'un renvoi de la Suisse romprait les liens étroits qui l'unissent à plusieurs membres de sa famille durablement installés en Suisse, il convient de lui accorder une exception aux mesures de limitation, même si, pris isolément, aucun des facteurs considérés ne saurait, en lui-même, conduire à ce résultat (cf. arrêt précité du 31 mars 1994 en la cause N.________, consid. 2).</w:t>
      </w:r>
    </w:p>
    <w:p>
      <w:r>
        <w:rPr>
          <w:b/>
        </w:rPr>
        <w:t>E. 5</w:t>
      </w:r>
    </w:p>
    <w:p>
      <w:r>
        <w:t>Vu ce qui précède, le recours doit être admis et la décision attaquée annulée. En outre, il doit être constaté que la recourante est exemptée des mesures de limitation du nombre des étrangers, ce qui justifie de transmettre le dossier à l'Office cantonal de la population du canton de Genève pour qu'il statue sur l'autorisation de séjour appropriée. Succombant, la Confédération devra verser à la recourante une indemnité à titre de dépens pour la procédure devant le Tribunal fédéral et devant le Département fédéral de justice et police ( art. 159 al. 1 OJ ). Il n'y a pas lieu de prélever des frais judiciaires ( art. 156 al. 1 et 2 OJ ). Avec ce prononcé,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