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2A.335/2005 vom 14. November 2005</w:t>
      </w:r>
    </w:p>
    <w:p>
      <w:r>
        <w:t>Bundesgericht, 2005-11-14, DE</w:t>
      </w:r>
    </w:p>
    <w:p>
      <w:r>
        <w:rPr>
          <w:b/>
        </w:rPr>
        <w:t xml:space="preserve">Quelle: </w:t>
      </w:r>
      <w:r>
        <w:t>https://mcp.opencaselaw.ch/entscheid/bger_2A.335_2005</w:t>
      </w:r>
    </w:p>
    <w:p>
      <w:r>
        <w:t>FR: TF 2A.335/2005 du 14 novembre 2005</w:t>
      </w:r>
    </w:p>
    <w:p>
      <w:r>
        <w:t>IT: TF 2A.335/2005 del 14 novembre 2005</w:t>
      </w:r>
    </w:p>
    <w:p>
      <w:pPr>
        <w:pStyle w:val="Heading2"/>
      </w:pPr>
      <w:r>
        <w:t>Regeste</w:t>
      </w:r>
    </w:p>
    <w:p>
      <w:r>
        <w:t>Geschützte Ursprungsbezeichnung für Emmentaler Käse (Beschwerdelegitimation) | Wirtschaft</w:t>
      </w:r>
    </w:p>
    <w:p>
      <w:pPr>
        <w:pStyle w:val="Heading2"/>
      </w:pPr>
      <w:r>
        <w:t>Erwägungen</w:t>
      </w:r>
    </w:p>
    <w:p>
      <w:r>
        <w:rPr>
          <w:b/>
        </w:rPr>
        <w:t>E. 1</w:t>
      </w:r>
    </w:p>
    <w:p>
      <w:r>
        <w:t>Die Regelung des Schutzes von Ursprungsbezeichnungen für landwirtschaftliche Produkte gehört zum öffentlichen Recht des Bundes. Da kein Ausschlussgrund nach Art. 99 ff. OG gegeben ist, unterläge ein von der Rekurskommission des Eidgenössischen Volkswirtschaftsdepartements gefällter Sachentscheid der Verwaltungsgerichtsbeschwerde an das Bundesgericht ( Art. 97 und Art. 98 lit. e OG in Verbindung mit Art. 5 VwVG ). Damit ist der Beschwerdeführer vorliegend ohne weiteres befugt, mit diesem Rechtsmittel den ergangenen Nichteintretensentscheid wegen der behaupteten unrichtigen Handhabung der bundesrechtlichen Legitimationsregeln anzufechten (vgl. etwa BGE 131 II 497 E. 1 S. 500).</w:t>
      </w:r>
    </w:p>
    <w:p>
      <w:r>
        <w:rPr>
          <w:b/>
        </w:rPr>
        <w:t>E. 2</w:t>
      </w:r>
    </w:p>
    <w:p>
      <w:r>
        <w:t>Das Bundesgesetz vom 29. April 1998 über die Landwirtschaft (LwG; SR 910.1) enthält in Art. 14 ff. Vorschriften über die Kennzeichnung von landwirtschaftlichen Erzeugnissen. Es sieht die Schaffung eines Registers für geschützte Ursprungsbezeichnungen und geographische Angaben vor ( Art. 16 Abs. 1 LwG ), wobei es die Ausgestaltung dieser Einrichtung weitgehend dem Bundesrat überlässt. Zu den Bereichen, welche Letzterer ausdrücklich näher zu regeln hat, gehört insbesondere "das Einsprache- und das Registrierungsverfahren" ( Art. 16 Abs. 2 lit. c LwG ). Am 28. Mai 1997 hat der Bundesrat die Verordnung über den Schutz von Ursprungsbezeichnungen und geographischen Angaben für landwirtschaftliche Erzeugnisse und verarbeitete landwirtschaftliche Erzeugnisse (GUB/GGA-Verordnung; SR 910.12) erlassen, deren Art. 10 Abs. 1 die Legitimation zur Einsprache gegen Eintragungen in das Register regelt: Einspracheberechtigt sind "Personen, die ein schutzwürdiges Interesse geltend machen können" (lit. a) und "die Kantone" (lit. b), wobei die Einsprachefrist drei Monate beträgt (Art. 10 Abs. 2).</w:t>
      </w:r>
    </w:p>
    <w:p>
      <w:r>
        <w:rPr>
          <w:b/>
        </w:rPr>
        <w:t>E. 3.1</w:t>
      </w:r>
    </w:p>
    <w:p>
      <w:r>
        <w:t>Der Beschwerdeführer verlangt - trotz der grammatikalisch weit gefassten Legitimationsregelung von Art. 10 Abs. 1 lit. a GUB/GGA-Verordnung - ein Nichteintreten auf die Einsprachen der Beschwerdegegner; dies, weil er von einer automatischen Befugnis der abgewiesenen Einsprecher ausgeht, den Einspracheentscheid mit Beschwerde bei der Rekurskommission des Eidgenössischen Volkswirtschaftsdepartements anzufechten. Ihm geht es also letztlich nicht um die Verhinderung einer materiellen Behandlung der Einsprachen, sondern um die sich seines Erachtens aus einer solchen ergebende Beschwerdelegitimation. Der Beschwerdeführer verkennt, dass eine materielle Beteiligung am Einspracheverfahren zwar in aller Regel Voraussetzung für die Legitimation zum anschliessenden Beschwerdeverfahren bildet, hierfür alleine jedoch nicht ausreicht: Zusätzlich erforderlich ist stets, dass der Betroffene die spezifischen gesetzlichen Anforderungen des zu ergreifenden Rechtsmittels erfüllt. Vorliegend richtet sich die Beschwerdelegitimation nach Art. 48 lit. a VwVG , der zumindest vom Wortlaut her enger gefasst ist als Art. 10 Abs. 1 lit. a GUB/GGA-Verordnung: Zur Beschwerde ist berechtigt, "wer durch die angefochtene Verfügung berührt ist und ein schutzwürdiges Interesse an deren Aufhebung oder Änderung hat". Es liessen sich durchaus Gründe dafür erkennen, die Befugnis zur Einsprache vorliegend weiter zu fassen als jene für das anschliessende Rechtsmittelverfahren. Wie es sich damit im Einzelnen verhält, ist im vorliegenden Zusammenhang jedoch unerheblich und kann deshalb offen bleiben:</w:t>
      </w:r>
    </w:p>
    <w:p>
      <w:r>
        <w:rPr>
          <w:b/>
        </w:rPr>
        <w:t>E. 3.2</w:t>
      </w:r>
    </w:p>
    <w:p>
      <w:r>
        <w:t>Die Beschwerdegegner, deren Legitimation zur Einsprache der Beschwerdeführer im vorinstanzlichen Verfahren bestritten hat, führen nämlich ihrerseits gegen den ergangenen Sachentscheid des Bundesamts Beschwerde bei der Rekurskommission des Eidgenössischen Volkswirtschaftsdepartements. In jenen Verfahren wird Letztere ihre Beschwerdelegitimation nach Massgabe von Art. 48 lit. a VwVG zu prüfen und selber darüber zu befinden haben. Nach dem Gesagten ist damit, dass das Bundesamt die Einspracheberechtigung bejaht hat, über die Befugnis zur Anfechtung des Einspracheentscheids noch nicht entschieden. Es ergäbe sich für den Beschwerdeführer selbst dann keine Verschlechterung seiner prozessualen Stellung, wenn das Bundesamt die Legitimation der Beschwerdegegner zur Einsprache - wie behauptet - zu Unrecht bejaht haben sollte: Bleibt es beim Einspracheentscheid, spielt es für den obsiegenden Gesuchsteller keine Rolle, ob die Einsprachen abgewiesen wurden oder ob auf sie nicht eingetreten wurde. Führen die Einsprecher aber Beschwerde, so kann der Gesuchsteller als Beschwerdegegner ihre Legitimation im Verfahren vor der Rekurskommission bestreiten. Ein Nachteil, der ein schutzwürdiges Interesse daran begründen würde, selber auf dem Beschwerdeweg die fehlende Legitimation der Einsprecher geltend zu machen und eine entsprechende Korrektur des Einspracheentscheids zu erwirken, liegt deshalb offensichtlich nicht vor und zwar unabhängig davon, ob die abgewiesenen Einsprecher ihrerseits Beschwerde führen. Die anders lautenden Vorbringen in der Beschwerdeschrift gehen an der Sache vorbei.</w:t>
      </w:r>
    </w:p>
    <w:p>
      <w:r>
        <w:rPr>
          <w:b/>
        </w:rPr>
        <w:t>E. 3.3</w:t>
      </w:r>
    </w:p>
    <w:p>
      <w:r>
        <w:t>Wenn die Rekurskommission des Eidgenössischen Volkswirtschaftsdepartements auf die Eingabe des Beschwerdeführers nicht eingetreten ist, handelte sie deshalb bundesrechtskonform. Die Verwaltungsgerichtsbeschwerde erweist sich als unbegründet und ist abzuweisen.</w:t>
      </w:r>
    </w:p>
    <w:p>
      <w:r>
        <w:rPr>
          <w:b/>
        </w:rPr>
        <w:t>E. 4</w:t>
      </w:r>
    </w:p>
    <w:p>
      <w:r>
        <w:t>Bei diesem Verfahrensausgang wird der Beschwerdeführer kostenpflichtig (vgl. Art. 156 in Verbindung mit Art. 153 und Art. 153a OG ). Er hat überdies jene Beschwerdegegner, die sich am bundesgerichtlichen Verfahren beteiligt haben, für den entsprechenden Aufwand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