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2A.321/2005 vom 29. August 2005</w:t>
      </w:r>
    </w:p>
    <w:p>
      <w:r>
        <w:t>Bundesgericht, 2005-08-29, FR</w:t>
      </w:r>
    </w:p>
    <w:p>
      <w:r>
        <w:rPr>
          <w:b/>
        </w:rPr>
        <w:t xml:space="preserve">Quelle: </w:t>
      </w:r>
      <w:r>
        <w:t>https://mcp.opencaselaw.ch/entscheid/bger_2A.321_2005</w:t>
      </w:r>
    </w:p>
    <w:p>
      <w:r>
        <w:t>FR: TF 2A.321/2005 du 29 août 2005</w:t>
      </w:r>
    </w:p>
    <w:p>
      <w:r>
        <w:t>IT: TF 2A.321/2005 del 29 agosto 2005</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La voie du recours de droit administratif est, en principe, ouverte contre les décisions relatives à l'assujettissement aux mesures de limitation prévues par l'ordonnance limitant le nombre des étrangers ( ATF 128 II 145 consid. 1.1.1 p. 148 et les arrêts cités).</w:t>
      </w:r>
    </w:p>
    <w:p>
      <w:r>
        <w:rPr>
          <w:b/>
        </w:rPr>
        <w:t>E. 1.2</w:t>
      </w:r>
    </w:p>
    <w:p>
      <w:r>
        <w:t>En matière d'exemption aux mesures de limitation, seules les décisions rendues en dernière instance fédérale sont susceptibles d'être déférées au Tribunal fédéral. En conséquence, la conclusion du recourant tendant à l'annulation de la décision de l'Office fédéral du 4 septembre 2003 est irrecevable.</w:t>
      </w:r>
    </w:p>
    <w:p>
      <w:r>
        <w:rPr>
          <w:b/>
        </w:rPr>
        <w:t>E. 1.3</w:t>
      </w:r>
    </w:p>
    <w:p>
      <w:r>
        <w:t>Pour le surplus, déposé en temps utile et dans les formes requises, le présent recours est recevable au regard des art. 97 ss OJ .</w:t>
      </w:r>
    </w:p>
    <w:p>
      <w:r>
        <w:rPr>
          <w:b/>
        </w:rPr>
        <w:t>E. 2</w:t>
      </w:r>
    </w:p>
    <w:p>
      <w:r>
        <w:t>Le recourant requiert la production du dossier du ressortissant congolais Y.________. Selon l' art. 93 al. 1 OJ , si le Tribunal fédéral ordonne un échange d'écritures, il communique le recours à l'autorité intimée qui a pris l'arrêté ou la décision attaquée ainsi qu'à la partie adverse et à d'autres intéressés éventuels en leur impartissant un délai suffisant pour répondre et pour produire le dossier. En l'espèce, le Département fédéral a envoyé son dossier dans le délai imparti. Il contient celui de Y.________, de sorte que la réquisition d'instruction du recourant est sans objet.</w:t>
      </w:r>
    </w:p>
    <w:p>
      <w:r>
        <w:rPr>
          <w:b/>
        </w:rPr>
        <w:t>E. 3</w:t>
      </w:r>
    </w:p>
    <w:p>
      <w:r>
        <w:t>Conformément à l' art. 104 lettre a OJ , le recours de droit administratif peut être formé pour violation du droit fédéral, y compris l'excès et l'abus du pouvoir d'appréciation ( ATF 128 II 56 consid. 2a p. 60; 145 consid. 1.2.1 p. 150). Le Tribunal fédéral revoit d'office l'application du droit fédéral qui englobe notamment les droits constitutionnels du citoyen ( ATF 130 III 707 consid. 3.1 p. 709; 130 I 312 consid. 1.2 p. 318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ATF 127 II 297 consid. 2a p. 298).</w:t>
      </w:r>
    </w:p>
    <w:p>
      <w:r>
        <w:rPr>
          <w:b/>
        </w:rPr>
        <w:t>E. 4.1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 ATF 130 II 39 consid. 3 p. 41).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les références citées).</w:t>
      </w:r>
    </w:p>
    <w:p>
      <w:r>
        <w:rPr>
          <w:b/>
        </w:rPr>
        <w:t>E. 4.2</w:t>
      </w:r>
    </w:p>
    <w:p>
      <w:r>
        <w:t>L'art. 4 al. 1 de l'ordonnance limitant le nombre des étrangers soustrait certaines personnes à cette réglementation tant qu'elles n'exercent que l'activité définie ci-après, à savoir, notamment, les membres de missions diplomatiques et permanentes ainsi que des postes consulaires, titulaires d'une pièce de légitimation établie par le Département fédéral des affaires étrangères (lettre a) et les fonctionnaires d'organisations internationales ayant leur siège en Suisse, titulaires de ladite pièce (lettre b). Le séjour de ces étrangers en Suisse n'est ainsi autorisé que dans un but déterminé par le Département fédéral des affaires étrangères, lequel ne tient dès lors pas compte à cet égard des buts poursuivis par la politique fédérale en matière d'emploi et de la présence étrangère en Suisse (cf. à cet égard l'art. 1er lettres a et c OLE). L'ordonnance limitant le nombre des étrangers ne s'applique pas non plus aux membres de la famille des personnes désignées à l'art. 4 al. 1 lettres a et b OLE, pendant la durée de fonction de ces dernières, s'ils ont été admis au titre du regroupement familial, font ménage commun avec ces personnes et sont titulaires d'une pièce de légitimation établie par le Département fédéral des affaires étrangères. Cette exclusion concerne le conjoint, ainsi que les enfants célibataires, admis avant l'âge de 21 ans, qui séjournent en Suisse et y exercent une activité lucrative exigeant une autorisation de police des étrangers ( art. 4 al. 2 lettre a OLE ) et le conjoint, ainsi que les enfants célibataires âgés de moins de 25 ans, qui n'exercent pas d'activité lucrative ( art. 4 al. 2 lettre b OLE ). Par ailleurs, ainsi que le Tribunal fédéral l'a constaté (arrêts du 19 décembre 2000, 2A.513/2000 consid. 2b et 2A.499/2000 consid. 2b et du 2 mars 1999, 2A.431/1998 consid. 3a), les personnes visées par l'art. 4 al. 1 lettres a et b OLE ne peuvent bénéficier de la jurispruden- ce instaurée par l'arrêt Kaynak ( ATF 124 II 110 consid. 3 p. 113) selon laquelle, à partir d'un séjour de dix ans en Suisse, le renvoi dans le pays d'origine d'un requérant dont la demande d'asile n'a pas encore été définitivement écartée entraîne normalement un cas de rigueur selon l'art. 13 lettre f OLE, pour autant qu'il s'agisse d'un étranger financièrement autonome, bien intégré sur les plans social et professionnel, qui s'est comporté tout à fait correctement et dont la durée du séjour n'a pas été artificiellement prolongée par l'utilisation abusive de procédures dilatoires. En effet, un étranger séjournant en Suisse au bénéfice d'une carte de légitimation délivrée par le Département fédéral des affaires étrangères en vertu de l'art. 4 al. 1 lettres a et b OLE doit savoir que sa présence en Suisse est directement liée à la fonction qu'il occupe, de sorte que la durée de son séjour n'est en principe pas déterminante au regard de l'art. 13 lettre f OLE. Sa situation n'est ainsi pas comparable à celle d'un requérant d'asile qui a quitté son pays d'origine dans d'autres circonstances, d'autant qu'il peut demeurer intégré à son environnement socioculturel d'origine alors que le requérant d'asile est contraint de rompre tout contact avec sa patrie ( ATF 123 II 125 consid. 3 p. 128; Alain Wurzburger, La jurisprudence récente du Tribunal fédéral en matière de police des étrangers, in: RDAF 53/1997 I, p. 267 ss, spéc. p. 292 et la référence citée à la note 77). Il s'ensuit que les membres de missions diplomatiques et les fonctionnaires d'organisations internationales ayant leur siège en Suisse qui ne sont plus en fonction ne peuvent en principe pas obtenir d'exception aux mesures de limitation lorsque prend fin la mission ou l'emploi pour lequel a été délivrée une autorisation de séjour d'emblée limitée à ce but bien précis, sous réserve de circonstances tout à fait exceptionnelles (arrêts du 19 décembre 2000, 2A.513/2000 consid. 2b et 2A.499/2000 consid. 2b et du 2 mars 1999, 2A.431/1998 consid. 3a).</w:t>
      </w:r>
    </w:p>
    <w:p>
      <w:r>
        <w:rPr>
          <w:b/>
        </w:rPr>
        <w:t>E. 4.3</w:t>
      </w:r>
    </w:p>
    <w:p>
      <w:r>
        <w:t>Dans le cas particulier, la situation personnelle du recourant revêt assurément un caractère exceptionnel. Il a accompagné ses parents à Genève alors qu'il était âgé de 4 mois et demi et il a conservé son domicile en Suisse jusqu'à ce jour, soit pendant 27 ans. Si son père a quitté notre pays en 1997, sa mère réside toujours dans le canton de Genève, ainsi que ses deux frères cadets, au bénéfice d'une carte de légitimation. Tous trois on engagé une procédure de naturalisation; ainsi il n'est pas exclu qu'ils y conservent leur domicile après la cessation des fonctions de la mère de famille. Le recourant a conservé le centre de ses intérêts familiaux à Genève. Lorsqu'il séjournait à l'étranger pour les besoins de sa formation, il a régulièrement rejoint sa famille pendant les vacances scolaires; après le départ de son père, c'est auprès de sa mère et de ses frères qu'il a passé ses vacances et c'est eux qu'il a rejoint en 2001, après l'achèvement de ses études en Grande-Bretagne et en France. En dépit de ces liens familiaux, le Département fédéral a retenu que les attaches du recourant avec la Suisse ne pouvaient pas être qualifiées d'étroites; en effet, l'intéressé avait d'abord suivi à Genève une scolarité en langue anglaise dans une école privée puis avait accompli l'essentiel de sa formation à l'étranger, depuis l'âge de 11 ans et demi à celui de 23 ans. Il ne s'était ainsi pas intégré au canton de Genève avant son départ et c'est à l'étranger qu'il avait passé les années déterminantes pour son développement. Si ces considérations ne sont pas dénuées de pertinence, elles doivent cependant être relativisées. Le choix de la langue anglaise pour la scolarité et les études du recourant s'explique par ses origines, le Ghana étant un pays à tradition anglophone. Celui d'une école privée correspond à une habitude largement répandue dans les milieux internationaux. Même s'il n'a pas fréquenté l'école publique genevoise, le recourant maîtrise la langue française; il a exercé à Genève différentes activités lucratives accessoires pendant ses vacances scolaires et s'y est constitué un cercle d'amis et de connaissances. Pour ce qui concerne sa formation à l'étranger, il faut constater que la carte de légitimation qui lui a été délivrée a été régulièrement renouvelée, malgré ses séjours pour études en Grande-Bretagne, puis en France. Les autorités compétentes ont donc considéré que l'intéressé n'avait pas déplacé le centre de ses intérêts à l'étranger. Dans la mesure où le recourant a passé toutes ses vacances à Genève, il n'a guère pu tisser de liens sociaux étroits là où il a accompli ses études. C'est d'autant plus vrai que le recourant a étudié dans différents lieux successifs: une école préparatoire dans le Kent, un collège dans le Sussex, l'Université à Londres, puis un institut américain à Sofia Antipolis. Un tel parcours ne favorise pas une véritable intégration. Son développement personnel a donc été façonné autant lors de ses séjours en Suisse auprès de sa famille qu'à l'occasion de ses séjours pour études à l'étranger. L'attachement du recourant à la Suisse s'est également manifesté à l'issue de sa formation. Ce n'est ni au Ghana, ni en Grande-Bretagne, ni en France que le recourant s'est établi avec l'intention d'y rester à demeure, mais bien dans le canton de Genève. Il est vrai que le recourant, âgé de 27 ans, est apte à vivre de manière indépendante et à mettre à profit ses solides connaissances acquises au travers de ses études. Compte tenu des liens qu'il a tissé dans le canton de Genève, on ne saurait toutefois exiger qu'il retourne vivre dans son pays d'origine, qu'il ne connaît pas. Il n'y a passé qu'un bref séjour touristique à l'âge de 11 ans et il n'a plus de contact avec son père qui y réside. En outre, comme il le relève pertinemment, le recourant n'aurait que peu de chances d'accéder au marché du travail d'un pays anglophone. Compte tenu de toutes les circonstances du cas particulier, la situation personnelle du recourant, appréciée dans son ensemble, répond aux exigences du cas de rigueur au sens de l'art. 13 lettre f OLE.</w:t>
      </w:r>
    </w:p>
    <w:p>
      <w:r>
        <w:rPr>
          <w:b/>
        </w:rPr>
        <w:t>E. 5</w:t>
      </w:r>
    </w:p>
    <w:p>
      <w:r>
        <w:t>Il est en conséquence superflu d'examiner le grief du recourant lié à la violation du principe de l'égalité de traitement. A cet égard, on peut émettre des doutes, au vu de l'analogie du parcours de vie du recourant et du ressortissant congolais Y.________, sur la pertinence des critères retenus pas l'autorité intimée pour confirmer le sort différent réservé aux intéressés en matière d'exemption aux mesures de limitation. Sous réserve de sa première année de scolarité, Y.________ a également fréquenté une école privée à Genève et il a aussi poursuivi sa formation en Grande-Bretagne, même si elle n'a duré que cinq ans. Il n'en reste pas moins que tous deux ont leur noyau familial à Genève et que c'est dans ce canton qu'ils ont tous deux eu leur domicile constant depuis leurs premiers mois d'existence.</w:t>
      </w:r>
    </w:p>
    <w:p>
      <w:r>
        <w:rPr>
          <w:b/>
        </w:rPr>
        <w:t>E. 6.1</w:t>
      </w:r>
    </w:p>
    <w:p>
      <w:r>
        <w:t>Vu ce qui précède, le recours doit être admis dans la mesure où il est recevable et la décision attaquée annulée. Il y a lieu en outre de constater que le recourant est exempté des mesures de limitation du nombre des étrangers, ce qui justifie la transmission du dossier à l'Office de la population du canton de Genève pour qu'il statue sur l'autorisation de séjour appropriée.</w:t>
      </w:r>
    </w:p>
    <w:p>
      <w:r>
        <w:rPr>
          <w:b/>
        </w:rPr>
        <w:t>E. 7</w:t>
      </w:r>
    </w:p>
    <w:p>
      <w:r>
        <w:t>Succombant, la Confédération devra verser au recourant une indemnité à titre de dépens pour la procédure devant le Tribunal fédéral et devant le Département fédéral ( art. 159 al. 1 OJ ). Le présent arrêt est rendu sans frais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