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2A.320/2003 vom 16. September 2003</w:t>
      </w:r>
    </w:p>
    <w:p>
      <w:r>
        <w:t>Bundesgericht, 2003-09-16, DE</w:t>
      </w:r>
    </w:p>
    <w:p>
      <w:r>
        <w:rPr>
          <w:b/>
        </w:rPr>
        <w:t xml:space="preserve">Quelle: </w:t>
      </w:r>
      <w:r>
        <w:t>https://mcp.opencaselaw.ch/entscheid/bger_2A.320_2003</w:t>
      </w:r>
    </w:p>
    <w:p>
      <w:r>
        <w:t>FR: TF 2A.320/2003 du 16 septembre 2003</w:t>
      </w:r>
    </w:p>
    <w:p>
      <w:r>
        <w:t>IT: TF 2A.320/2003 del 16 settembre 2003</w:t>
      </w:r>
    </w:p>
    <w:p>
      <w:pPr>
        <w:pStyle w:val="Heading2"/>
      </w:pPr>
      <w:r>
        <w:t>Regeste</w:t>
      </w:r>
    </w:p>
    <w:p>
      <w:r>
        <w:t>Bürgerrecht und Ausländerrecht</w:t>
      </w:r>
    </w:p>
    <w:p>
      <w:pPr>
        <w:pStyle w:val="Heading2"/>
      </w:pPr>
      <w:r>
        <w:t>Erwägungen</w:t>
      </w:r>
    </w:p>
    <w:p>
      <w:r>
        <w:rPr>
          <w:b/>
        </w:rPr>
        <w:t>E. 1</w:t>
      </w:r>
    </w:p>
    <w:p>
      <w:r>
        <w:t>Gemäss Art. 101 lit. a OG (e contrario) sind Zwischenverfügungen nur dann selbständig mit Verwaltungsgerichtsbeschwerde anfechtbar, wenn dieses Rechtsmittel auch gegen den Endentscheid offen steht.</w:t>
      </w:r>
    </w:p>
    <w:p>
      <w:r>
        <w:rPr>
          <w:b/>
        </w:rPr>
        <w:t>E. 1.1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Vorliegend fällt einzig Art. 8 Ziff. 1 EMRK in Betracht. Diese Bestimmung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so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126 II 425 E. 2a S. 427, mit Hinweisen).</w:t>
      </w:r>
    </w:p>
    <w:p>
      <w:r>
        <w:rPr>
          <w:b/>
        </w:rPr>
        <w:t>E. 2</w:t>
      </w:r>
    </w:p>
    <w:p>
      <w:r>
        <w:t>Der Beschwerdeführer macht geltend, er habe aufgrund seiner 30-jährigen Anwesenheit gestützt auf Art. 8 EMRK einen Anspruch auf Anwesenheit in der Schweiz.</w:t>
      </w:r>
    </w:p>
    <w:p>
      <w:r>
        <w:rPr>
          <w:b/>
        </w:rPr>
        <w:t>E. 2.1</w:t>
      </w:r>
    </w:p>
    <w:p>
      <w:r>
        <w:t>Wie der Beschwerdeführer ausführt, lebt er seit dem Alter von drei Jahren, d.h. heute seit dreissig Jahren, in der Schweiz. Seine Eltern sind mittlerweile verstorben, zwei Brüder und eine Schwester haben das Schweizer Bürgerrecht erworben, eine andere Schwester ist in der Schweiz niedergelassen, und eine dritte Schwester lebt in Deutschland. Der Beschwerdeführer, welcher der ethnischen Minderheit der Roma angehört, hat keine näheren Verwandten mehr in Mazedonien und ist angeblich der dortigen Landessprache nicht mächtig.</w:t>
      </w:r>
    </w:p>
    <w:p>
      <w:r>
        <w:rPr>
          <w:b/>
        </w:rPr>
        <w:t>E. 2.2</w:t>
      </w:r>
    </w:p>
    <w:p>
      <w:r>
        <w:t>Grundsätzlich ist der Schutzbereich von Art. 8 EMRK nicht auf die Kernfamilie beschränkt. Er erfasst vielmehr die Beziehung zwischen allen nahen Verwandten, darunter auch die Beziehung unter Geschwistern ( BGE 120 Ib 257 E. 1d S. 260). Das heisst aber nicht, dass in diesen Fällen immer ein Anspruch auf fremdenpolizeiliche Bewilligungen für die jeweiligen Angehörigen besteht. Geht es um Personen, die nicht der eigentlichen Kernfamilie zuzurechnen sind, setzt eine schützenswerte familiäre Beziehung voraus, dass der um die fremdenpolizeiliche Bewilligung ersuchende Ausländer vom hier Anwesenheitsberechtigten abhängig ist ( BGE 120 Ib 257 E. 1d S. 261). Eine solche Abhängigkeit von einem oder mehreren seiner in der Schweiz lebenden Geschwister macht der Beschwerdeführer nicht geltend, sodass er aus dem Anspruch auf Achtung des Familienlebens nichts zu seinen Gunsten ableiten kann.</w:t>
      </w:r>
    </w:p>
    <w:p>
      <w:r>
        <w:rPr>
          <w:b/>
        </w:rPr>
        <w:t>E. 2.3</w:t>
      </w:r>
    </w:p>
    <w:p>
      <w:r>
        <w:t>Der Beschwerdeführer stützt sich auf die ebenfalls in Art. 8 EMRK verankerte Garantie auf Achtung des Privatlebens. Dem Recht auf Achtung des Privatlebens kann nach der bundesgerichtlichen Rechtsprechung in ausländerrechtlichen Fällen grundsätzlich eine (selbständige) Auffangfunktion gegenüber dem engeren Schutzbereich des Rechts auf Achtung des Familienlebens zukommen, wenn qualifizierte Familienbande nicht oder nicht mehr bestehen. Das Bundesgericht hat diesbezüglich allerdings festgehalten, aus dem Recht auf Achtung des Privatlebens geradezu ein Anwesenheitsrecht abzuleiten, fiele höchstens dann in Betracht, wenn besonders intensive private Beziehungen in Frage stünden. Bisher hat es nur ganz ausnahmsweise einen derartigen Anspruch anerkannt (Art. 126 II 377 E. 2c/aa S. 385, mit Hinweisen; vgl. den eine gleichgeschlechtliche Lebensgemeinschaft betreffenden Entscheid BGE 126 II 425 ff.). Der Beschwerdeführer hat seit Juli 2002 eine Freundin. Diese Beziehung ist vorderhand schon aus zeitlichen Gründen nicht geeignet, einen Anspruch im Sinne von Art. 8 EMRK zu begründen. Von anderen intensiven Beziehungen, die in diesem Zusammenhang ins Gewicht fallen könnten, ist nichts bekannt. Die lange Anwesenheitsdauer in der Schweiz reicht für sich allein nicht aus, zumal die soziale Integration des Beschwerdeführers missglückt ist.</w:t>
      </w:r>
    </w:p>
    <w:p>
      <w:r>
        <w:rPr>
          <w:b/>
        </w:rPr>
        <w:t>E. 2.4</w:t>
      </w:r>
    </w:p>
    <w:p>
      <w:r>
        <w:t>Aus dem Gesagten geht hervor, dass der Beschwerdeführer aus Art. 8 EMRK keinen Anspruch auf eine Aufenthaltsbewilligung ableiten kann.</w:t>
      </w:r>
    </w:p>
    <w:p>
      <w:r>
        <w:rPr>
          <w:b/>
        </w:rPr>
        <w:t>E. 3</w:t>
      </w:r>
    </w:p>
    <w:p>
      <w:r>
        <w:t>Der Beschwerdeführer macht geltend, seine ursprüngliche Niederlassungsbewilligung sei durch die Ausweisung gar nicht erloschen, denn diese sei nicht vollzogen worden und der Beschwerdeführer habe die Schweiz nicht verlassen. Jedenfalls sei aber erstellt, dass durch das neue Urteil des Verwaltungsgerichts die ursprüngliche Ausweisungsverfügung wiedererwägungsweise bzw. auf dem Wege der Revision aufgehoben worden sei, womit die Niederlassungsbewilligung des Beschwerdeführers wieder auflebe. Die vom Beschwerdeführer aufgeworfene Frage eines allfälligen Weiterbestandes bzw. Wiederauflebens der Niederlassungsbewilligung kann nicht Gegenstand des vorliegenden Verfahrens sein, in dem es einzig um die Zustimmung zu einer allfälligen Aufenthaltsbewilligung geht. Es ist aber festzuhalten, dass entgegen der Meinung des Beschwerdeführers die Niederlassungsbewilligung mit der rechtskräftigen Ausweisung, die durch das Urteil des Verwaltungsgerichts vom 29. Januar 2003 nicht widerrufen worden ist, endgültig erloschen ist ( Art. 9 Abs. 1 lit. d ANAG ); wann und ob die Ausweisung konkret vollzogen worden ist, kann dabei nicht von Bedeutung sein. Mit dem vom Verwaltungsgericht gutgeheissenen Wiedererwägungsgesuch lebt die erloschene Niederlassungsbewilligung nicht etwa wieder auf, sondern es fällt bloss die mit der Ausweisung verbundene Entfernungsmassnahme nachträglich dahin.</w:t>
      </w:r>
    </w:p>
    <w:p>
      <w:r>
        <w:rPr>
          <w:b/>
        </w:rPr>
        <w:t>E. 4</w:t>
      </w:r>
    </w:p>
    <w:p>
      <w:r>
        <w:t>Nachdem der Beschwerdeführer keinen Anspruch auf eine Anwesenheitsbewilligung in der Schweiz hat und damit die Anfechtung eines Endentscheides des Eidgenössischen Justiz- und Polizeidepartements auf dem Wege der Verwaltungsgerichtsbeschwerde nicht möglich wäre, gilt dies auch für den vorliegenden Zwischenentscheid in Bezug auf die unentgeltliche Rechtspflege und Verbeiständung, womit auf die Beschwerde nicht einzutreten ist (vgl. E. 1).</w:t>
      </w:r>
    </w:p>
    <w:p>
      <w:r>
        <w:rPr>
          <w:b/>
        </w:rPr>
        <w:t>E. 5</w:t>
      </w:r>
    </w:p>
    <w:p>
      <w:r>
        <w:t>Bei diesem Verfahrensausgang würde der Beschwerdeführer grundsätzlich kostenpflichtig ( Art. 156 Abs. 1 OG ). Da die Beschwerde aber nicht von vornherein aussichtslos ist, die Prozessarmut des Beschwerdeführers als gegeben erscheint und sich die Beiordnung eines Rechtsanwalts rechtfertigt, ist das Gesuch um unentgeltliche Rechtspflege und Verbeiständung ( Art. 152 Abs. 1 und 2 OG )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