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2A.315/2002 vom 11. Oktober 2002</w:t>
      </w:r>
    </w:p>
    <w:p>
      <w:r>
        <w:t>Bundesgericht, 2002-10-11, DE</w:t>
      </w:r>
    </w:p>
    <w:p>
      <w:r>
        <w:rPr>
          <w:b/>
        </w:rPr>
        <w:t xml:space="preserve">Quelle: </w:t>
      </w:r>
      <w:r>
        <w:t>https://mcp.opencaselaw.ch/entscheid/bger_2A.315_2002</w:t>
      </w:r>
    </w:p>
    <w:p>
      <w:r>
        <w:t>FR: TF 2A.315/2002 du 11 octobre 2002</w:t>
      </w:r>
    </w:p>
    <w:p>
      <w:r>
        <w:t>IT: TF 2A.315/2002 del 11 ottobre 2002</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ist das Bundesamt für Ausländerfragen in den Bereichen des Ausländer- und Bürgerrechts ermächtigt, Verwaltungsgerichtsbeschwerde gegen letztinstanzliche kantonale Entscheide zu führen.</w:t>
      </w:r>
    </w:p>
    <w:p>
      <w:r>
        <w:t>Das Beschwerderecht der Bundesbehörden soll den richtigen und rechtsgleichen Vollzug des Bundesverwaltungsrechts sicherstellen. Dabei muss grundsätzlich kein spezifisches öffentliches Interesse an der Anfechtung der Verfügung nachgewiesen werden ( BGE 113 Ib 219 E. 1b S. 221; 127 II 32 E. 1b S. 35, je mit Hinweisen). Erforderlich ist nur, dass es der beschwerdeführenden Verwaltungseinheit nicht um die Behandlung abstrakter Fragen des objektiven Rechts, sondern um konkrete Rechtsfragen eines tatsächlich bestehenden Einzelfalles geht (vgl. BGE 125 II 633 E. 1a und b S. 635). Dies trifft vorliegend zu. Auf die Verwaltungsgerichtsbeschwerde des Bundesamtes für Ausländerfragen ist daher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w:t>
      </w:r>
    </w:p>
    <w:p>
      <w:r>
        <w:t>Ein allfälliger Anspruch auf Familiennachzug des Sohnes B.________ kann sich vorliegend einzig aus Art. 17 Abs. 2 Satz 3 ANAG (SR 142.20) ergeben. Danach haben ledige Kinder von Ausländern, die in der Schweiz niedergelassen sind, Anspruch auf Einbezug in die Niederlassungsbewilligung ihrer Eltern, wenn sie mit diesen zusammen wohnen und noch nicht 18 Jahre alt sind. Der Sohn B.________ war im Zeitpunkt der Gesuchseinreichung noch nicht 18 Jahre alt. Der streitige Rechtsanspruch kann daher - weil es für die Altersfrage beim Familiennachzug gemäss Art. 17 Abs. 2 ANAG nach der Rechtsprechung auf den Zeitpunkt der Gesuchseinreichung ankommt ( BGE 120 Ib 257 E. 1f S. 262 mit Hinweis) - heute noch geltend gemacht werden, wie dies die Vorinstanz richtig festgestellt hat (S. 7 des angefochtenen Entscheides). Auf Art. 8 Ziff. 1 EMRK , der den Schutz des Familienlebens garantiert (vgl. dazu ausführlich BGE 127 II 60 E. 1d/aa S. 64 f. mit Hinweisen), kann sich der Beschwerdegegner für den inzwischen volljährig gewordenen Sohn (geb. 1982) dagegen nicht berufen, da hiefür auf den heutigen Zeitpunkt abzustellen ist ( BGE 120 Ib 257 E. 1f S. 262). Dass ein besonderes Abhängigkeitsverhältnis vorliege, welches dem Sohn nach Erreichen der Volljährigkeit allenfalls einen Anspruch auf die Erteilung einer Aufenthaltsbewilligung gestützt auf Art. 8 EMRK verschaffen könnte, wurde und wird nicht behauptet.</w:t>
      </w:r>
    </w:p>
    <w:p>
      <w:r>
        <w:t>Zu prüfen ist somit, ob das kantonale Rekursgericht durch die Anerkennung des Anspruchs auf Familiennachzug gestützt auf Art. 17 Abs. 2 Satz 3 ANAG Bundesrecht falsch angewendet hat.</w:t>
      </w:r>
    </w:p>
    <w:p>
      <w:r>
        <w:rPr>
          <w:b/>
        </w:rPr>
        <w:t>E. 3</w:t>
      </w:r>
    </w:p>
    <w:p>
      <w:r>
        <w:t>3.1.1 Zweck des so genannten Familiennachzugs ist es, das Leben in der Familiengemeinschaft zu ermöglichen. Der Gesetzeswortlaut ( Art. 17 Abs. 2 Satz 3 ANAG , vgl. E. 2) verdeutlicht, dass die rechtliche Absicherung des Zusammenlebens der Gesamtfamilie angestrebt wird: Verlangt ist ausdrücklich, dass die Kinder mit ihren Eltern (Plural) zusammenwohnen werden. Auch die innere Systematik von Art. 17 Abs. 2 ANAG geht vom Zusammenleben mit Mutter und Vater aus. Die Nachzugsregelung ist mithin auf Familien zugeschnitten, in denen die (leiblichen) Eltern einen gemeinsamen ehelichen Haushalt führen ( BGE 126 II 329 E. 2a S. 330 mit Hinweisen).</w:t>
      </w:r>
    </w:p>
    <w:p>
      <w:r>
        <w:t>3.1.2 Hinsichtlich der Anerkennung eines Anspruches auf nachträglichen Familiennachzug im Lichte von Art. 17 ANAG unterscheidet die bundesgerichtliche Rechtsprechung daher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des Betreuungsverhältnisses rechtfertigen müssen. Innerhalb der allgemeinen Schranken von Art. 17 Abs. 2 Satz 3 ANAG ist somit der Nachzug von gemeinsamen Kindern grundsätzlich jederzeit zulässig; vorbehalten bleibt einzig das Rechtsmissbrauchsverbot ( BGE 126 II 329 E. 3b S. 332). Hingegen ist die Praxis auf Grund der unterschiedlichen familiären Situation wesentlich restriktiver, wenn der nachträgliche Familiennachzug von Kindern getrennter bzw. geschiedener Eltern in Frage steht.</w:t>
      </w:r>
    </w:p>
    <w:p>
      <w:r>
        <w:t>3.1.3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125 II 585 E. 2a S. 586). Der nachträgliche Nachzug eines Kindes setzt diesfalls voraus, dass eine vorrangige Bindung des Kindes zum in der Schweiz lebenden Elternteil nachgewiesen ist und besonders stichhaltige familiäre Gründe, zum Beispiel eine Änderung der Betreuungsmöglichkeiten, dieses Vorgehen rechtfertigen ( BGE 126 II 329 E. 2a und 3b S. 330/332).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124 II 361 E. 3a S. 366/367 mit Hinweisen).</w:t>
      </w:r>
    </w:p>
    <w:p>
      <w:r>
        <w:t>3.1.4 Die Situation des Beschwerdegegners lässt sich nicht ohne weiteres unter die genannten Kategorien (Gesamtfamilien oder getrennte Elternteile) subsumieren. Das Bundesgericht hat indessen in seiner Praxis zum nachträglichen Familiennachzug im Falle einer Teilfamilie unter dem Gesichtspunkt von Art. 17 Abs. 2 ANAG nicht nur darauf abgestellt, zu welchem Elternteil die vorrangige Beziehung besteht, sondern immer auch die Beziehungen der Kinder zu weiteren Betreuungspersonen (Grosseltern, ältere Geschwister) in Betracht gezogen ( BGE 125 II 585 E. 2c S. 588). Wird deshalb - wie hier - das Kind im Ausland durch nahe Familienangehörige erzogen und betreut, so sind die durch die Praxis für den Fall der getrennten Familien entwickelten Grundsätze anzuwenden (Urteil 2A.510/2001 vom 11. März 2002, E. 4.3).</w:t>
      </w:r>
    </w:p>
    <w:p>
      <w:r>
        <w:rPr>
          <w:b/>
        </w:rPr>
        <w:t>E. 3.2</w:t>
      </w:r>
    </w:p>
    <w:p>
      <w:r>
        <w:t>Das Rekursgericht hat erwogen, bei einer Familie, bei der ein Elternteil verstorben sei, könne die (Gesamt)Familie nur noch aus dem Rest der Familie, d.h. aus einem Elternteil und dem Kind, bestehen. Innerhalb der allgemeinen Schranken von Art. 17 Abs. 2 ANAG gebe es damit einen vorbehaltlosen Anspruch auf Familiennachzug. Dabei stelle sich in derartigen Fällen, gleich wie wenn beide Elternteile in der Schweiz zusammenwohnen würden, weder die Frage nach der vorrangigen familiären Beziehung, noch müsse sich der Nachzug als notwendig erweisen. Stellten die allgemeinen Schranken von Art. 17 Abs. 2 ANAG kein Hindernis für den Familiennachzug dar, sei dieser nur dann zu verweigern, wenn sich das Gesuch als rechtsmissbräuchlich erweise (S. 8/9 des angefochtenen Entscheides).</w:t>
      </w:r>
    </w:p>
    <w:p>
      <w:r>
        <w:rPr>
          <w:b/>
        </w:rPr>
        <w:t>E. 3.3</w:t>
      </w:r>
    </w:p>
    <w:p>
      <w:r>
        <w:t>Dieser Auffassung ist nicht beizupflichten (vgl. auch vorne E. 3.1.4):</w:t>
      </w:r>
    </w:p>
    <w:p>
      <w:r>
        <w:rPr>
          <w:b/>
        </w:rPr>
        <w:t>E. 3.3.1</w:t>
      </w:r>
    </w:p>
    <w:p>
      <w:r>
        <w:t>Ein bedingungsloser (bzw. nur unter dem Vorbehalt des Rechtsmissbrauches stehender) Anspruch des überlebenden Elternteils auf nachträglichen Nachzug der minderjährigen Kinder mag allenfalls dann gegeben sein, wenn zwischen diesem und den Kindern eine Familiengemeinschaft bereits bestanden hat und der überlebende Elternteil die Rolle, welche an sich den Eltern gemeinsam zukommt, trotz vorübergehender Betreuung der Kinder durch aussenstehende (nicht zur Kernfamilie gehörende) Dritte auch tatsächlich ausübt und das Zusammenleben mit den Kindern anstrebt bzw. sich diese Möglichkeit durch seine persönliche Lebensgestaltung erkennbar vorbehält. Von einer solchen Situation kann aber dann nicht die Rede sein, wenn der verbleibende Elternteil, wie hier, mit seinem (unehelichen) Kind praktisch nie zusammengelebt, sondern dies zunächst der im Ausland lebenden Mutter und nach deren Tod der Obhut der Grosseltern überlassen hat, um sich allein ins Ausland zu begeben und dort zwei Mal eine Ehe einzugehen, ohne dass es im Rahmen dieser neuen persönlichen Bindungen auch zu einer Familiengemeinschaft mit seinem im Heimatland zurückgelassenen Kind kam oder kommen konnte. Eine solche hat zwischen dem Beschwerdegegner und seinem Sohn während der 16 Jahre bis zum ersten Nachzugsgesuch nie bestanden. Unter solchen Umständen fällt ein nachträglicher Anspruch auf Familiennachzug, gleich wie bei getrennt lebenden Eltern, nur in Betracht, wenn stichhaltige Gründe eine Änderung der Betreuungsverhältnisse notwendig machen.</w:t>
      </w:r>
    </w:p>
    <w:p>
      <w:r>
        <w:rPr>
          <w:b/>
        </w:rPr>
        <w:t>E. 3.3.2</w:t>
      </w:r>
    </w:p>
    <w:p>
      <w:r>
        <w:t>Solche Gründe dürfen nicht leichthin bejaht werden. Es gelten hohe Beweisanforderungen (vgl. BGE 124 II 361 E. 4c S. 370/371); an den Nachweis der fehlenden Betreuungsmöglichkeit im Heimatland sind - zumal es aus integrationspolitischer Sicht nicht erwünscht ist, dass Jugendliche erst kurz vor Erreichung der Altersgrenze in die Schweiz geholt werden (Urteil 2A.34/2002 vom 22. Mai 2002, E. 3.4) - umso höhere Anforderungen zu stellen, je älter das Kind ist bzw. je grösser die ihm in der Schweiz drohenden Integrationsschwierigkeiten sind. In diesem Zusammenhang weist das beschwerdeführende Bundesamt zu Recht darauf hin, dass eine Übersiedlung des in der Türkei aufgewachsenen, dort sozial, kulturell und sprachlich integrierten Sohnes mit wesentlichen Schwierigkeiten verbunden sein dürfte (vgl. S. 7 der Beschwerdeschrift).</w:t>
      </w:r>
    </w:p>
    <w:p>
      <w:r>
        <w:rPr>
          <w:b/>
        </w:rPr>
        <w:t>E. 3.4</w:t>
      </w:r>
    </w:p>
    <w:p>
      <w:r>
        <w:t>Wer, wie der Beschwerdegegner, als verwitweter bzw. wiederverheirateter Elternteil sein Kind jahrelang im Heimatland in der Obhut der Grosseltern oder anderer naher Verwandter lässt, hat nach dem Gesagten - gleich wie ein getrennter oder geschiedener Elternteil (vgl. E. 3.1.3 und 3.1.4) - nur dann einen Anspruch auf nachträglichen Familiennachzug, wenn stichhaltige Gründe eine Änderung der Betreuungsverhältnisse gebieten, wobei wegen der zu erwartenden Integrationsschwierigkeiten an die Stichhaltigkeit dieser Gründe umso höhere Anforderungen zu stellen sind, je älter das Kind ist (vgl. E. 3.3.2). In diesem Zusammenhang ist zwar zu berücksichtigen, dass altersbedingte Hemmnisse für den Verbleib des Kindes bei den Grosseltern in manchen Fällen tatsächlich bestehen mögen. Es handelt sich dabei aber um Schwierigkeiten, die der emigrierte Elternteil, der sein Kind - trotz der voraussehbaren zeitlichen Schranken einer solchen Lösung - der Obhut der Grosseltern überlässt, letztlich von Anfang an in Kauf genommen hat. Wer - wie der Beschwerdegegner - in ein anderes Land übersiedelt, hat grundsätzlich die sich daraus für die Pflege familiärer Beziehungen ergebenden Konsequenzen zu tragen (Urteil 2A.187/2002 vom 6. August 2002, E. 2.3).</w:t>
      </w:r>
    </w:p>
    <w:p>
      <w:r>
        <w:t>Stichhaltige Gründe, die eine Änderung der Betreuungsverhältnisse im Zeitpunkt der Gesuchseinreichung notwendig gemacht hätten, werden im angefochtenen Entscheid, der zu Unrecht die für den Familiennachzug bei gemeinsam lebenden Eltern geltenden Grundsätze als anwendbar erachtet hat und damit von falschen rechtlichen Voraussetzungen ausgegangen ist, nicht dargetan. Es ist insbesondere nicht ersichtlich, dass eine weitere altersgerechte Betreuung des Sohnes, der im Zeitpunkt der Gesuchseinreichung bereits 16 Jahre alt war und damit (schon damals) nicht mehr ständig einer persönlichen, insbesondere physischen Betreuung bedurfte, durch die Grosseltern nicht mehr möglich gewesen wäre. Ebenso wenig lässt sich aus dem Umstand, dass der Sohn inzwischen - nach Erreichung der Volljährigkeit - zu der jetzigen neuen Ehefrau des Beschwerdegegners gezogen ist, die damalige Notwendigkeit einer Änderung der Betreuungsverhältnisse ableiten.</w:t>
      </w:r>
    </w:p>
    <w:p>
      <w:r>
        <w:rPr>
          <w:b/>
        </w:rPr>
        <w:t>E. 4.1</w:t>
      </w:r>
    </w:p>
    <w:p>
      <w:r>
        <w:t>Nach dem Gesagten verstösst das angefochtene Urteil gegen Bundesrecht und ist aufzuheben.</w:t>
      </w:r>
    </w:p>
    <w:p>
      <w:r>
        <w:t>Hebt das Bundesgericht die angefochtene Verfügung auf, so entscheidet es selbst in der Sache oder weist diese zu neuer Beurteilung an die Vorinstanz zurück ( Art. 114 Abs. 2 OG , erster Halbsatz).</w:t>
      </w:r>
    </w:p>
    <w:p>
      <w:r>
        <w:t>Für eine Rückweisung der Sache an das Rekursgericht besteht vorliegend kein Anlass; hingegen ist der Einspracheentscheid der Fremdenpolizei vom 31. Januar 2000, mit dem diese den Familiennachzug des Sohnes B.________ verweigert hat, zu bestätigen. Der bevorstehende Entscheid über das hängige Familiennachzugsgesuch für die neue Ehefrau und ihre drei Kinder vermag an dieser Beurteilung nichts zu ändern: Der Sohn des Beschwerdegegners ist heute volljährig und auf eine Betreuung durch Dritte, sei es in der Türkei oder in der Schweiz, nicht (mehr) angewiesen.</w:t>
      </w:r>
    </w:p>
    <w:p>
      <w:r>
        <w:rPr>
          <w:b/>
        </w:rPr>
        <w:t>E. 4.2</w:t>
      </w:r>
    </w:p>
    <w:p>
      <w:r>
        <w:t>Bei diesem Verfahrensausgang sind die Gerichtskosten dem unterliegenden Beschwerdegegner aufzuerlegen (Art. 156 Abs. 1 in Verbindung mit Art. 153 und 153a OG ). Parteientschädigungen sind nicht geschuldet ( Art. 159 Abs. 2 OG ).</w:t>
      </w:r>
    </w:p>
    <w:p>
      <w:r>
        <w:t>Sache des Rekursgerichts wird es sein, über die Kosten des kantonalen Rechtsmittelverfahrens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