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2A.315/2001 vom 26. November 2001</w:t>
      </w:r>
    </w:p>
    <w:p>
      <w:r>
        <w:t>Bundesgericht, 2001-11-26, DE</w:t>
      </w:r>
    </w:p>
    <w:p>
      <w:r>
        <w:rPr>
          <w:b/>
        </w:rPr>
        <w:t xml:space="preserve">Quelle: </w:t>
      </w:r>
      <w:r>
        <w:t>https://mcp.opencaselaw.ch/entscheid/bger_2A.315_2001</w:t>
      </w:r>
    </w:p>
    <w:p>
      <w:r>
        <w:t>FR: TF 2A.315/2001 du 26 novembre 2001</w:t>
      </w:r>
    </w:p>
    <w:p>
      <w:r>
        <w:t>IT: TF 2A.315/2001 del 26 novembre 2001</w:t>
      </w:r>
    </w:p>
    <w:p>
      <w:pPr>
        <w:pStyle w:val="Heading2"/>
      </w:pPr>
      <w:r>
        <w:t>Erwägungen</w:t>
      </w:r>
    </w:p>
    <w:p>
      <w:r>
        <w:rPr>
          <w:b/>
        </w:rPr>
        <w:t>E. 1</w:t>
      </w:r>
    </w:p>
    <w:p>
      <w:r>
        <w:t>Der Rechtsschutz gegen Verfügungen des ETH-Rates über öffentlichrechtliche Dienstverhältnisse richtet sich gemäss Art. 37 Abs. 2 des Bundesgesetzes vom 4. Oktober 1991 über die Eidgenössischen Technischen Hochschulen (ETH-Gesetz; SR 414. 110) nach dem Beamtengesetz vom 30. Juni 1927 (BtG; SR 172. 221.10). Dieses sieht in Art. 58 Abs. 2 lit. b Ziff. 3 die Personalrekurskommission als Beschwerdeinstanz für Verfügungen letzter Instanzen autonomer eidgenössischer Anstalten vor, soweit die Verwaltungsgerichtsbeschwerde an das Bundesgericht zulässig ist, was in Bezug auf die Nichtwiederwahl eines Professors (Art. 5 der Verordnung vom 16. November 1983 über die Dozenten der Eidgenössischen Technischen Hochschulen [ETH-Dozentenverordnung; SR 414. 142]) der Fall ist, denn es liegt weder einer der für das Gebiet öffentlichrechtlicher Dienstverhältnisse des Bundes geltenden Ausschlussgründe ( Art. 100 Abs. 1 lit. e OG ) noch einer der übrigen Ausschlussgründe nach den Art. 99 ff. OG vor. Auf die frist- und formgerecht erhobene Verwaltungsgerichtsbeschwerde gegen den Entscheid der Personalrekurskommission als Vorinstanz des Bundesgerichts ( Art. 98 lit. e OG ) ist einzutreten.</w:t>
      </w:r>
    </w:p>
    <w:p>
      <w:r>
        <w:rPr>
          <w:b/>
        </w:rPr>
        <w:t>E. 2</w:t>
      </w:r>
    </w:p>
    <w:p>
      <w:r>
        <w:t>Auflage, Zürich 1998, Rz. 280, S. 101; VPB 1988 Nr. 9 E. 1a). Wer allein wegen seiner Fachkenntnisse zur Abklärung der Sachumstände beigezogen und mit einem Gutachten beauftragt wird, wirkt als Experte mit und gibt nicht bloss Auskunft ( BGE 99 Ib 51 E. 3 S. 57).</w:t>
      </w:r>
    </w:p>
    <w:p>
      <w:r>
        <w:t>Im Lichte dieser Abgrenzung ist festzuhalten, dass die internen Berichterstatter der ETH Lausanne nicht eigentliche Gutachten erstellt, sondern Auskunft über den Beschwerdeführer gegeben haben. Weniger eindeutig liegen die Dinge bei den externen Berichterstattern. Auch sie berichteten zwar über ihre ausserhalb des Verfahrens wahrgenommenen Kenntnisse betreffend die wissenschaftliche Qualifikation des Beschwerdeführers, hatten sich aber namentlich auch zum im Hinblick auf das Wiederwahlverfahren verfassten Tätigkeitsbericht des Beschwerdeführers zu äussern.</w:t>
      </w:r>
    </w:p>
    <w:p>
      <w:r>
        <w:t>Diese gutachtlichen Elemente hätten nahe gelegt, die auf Grund der Verweisung von Art. 19 VwVG massgebenden Bestimmungen von Art. 57 ff. BZP zu beachten, welche insbesondere vorschreiben, dass den Parteien Gelegenheit zu geben ist, zur Ernennung der Sachverständigen Stellung zu nehmen und sich zu den Fragen zu äussern, deren Begutachtung beabsichtigt ist. Von einer evidenten Missachtung der verfahrensrechtlichen Vorschriften kann aber nicht gesprochen werden, handelt es sich doch um Berichte, die Elemente von Auskunft und Gutachten zugleich enthalten.</w:t>
      </w:r>
    </w:p>
    <w:p>
      <w:r>
        <w:t>bb) Entgegen der Meinung des Beschwerdeführers sind die externen Berichte nicht unbeachtlich. Dies wäre nur dann der Fall, wenn Ausstandsgründe oder sonstige Mängel geltend gemacht werden könnten (vgl. BGE 99 Ib 51 E. 3 S. 57), was vorliegend nicht zutrifft (vgl. sogleich E. 2c/cc). Die fehlenden Deutschkenntnisse zweier Berichterstatter hatten zwar zur Folge, dass diese die in deutscher Sprache verfassten Veröffentlichungen des Beschwerdeführers nicht mitbeurteilen konnten. Beide haben sich aber auch nicht zu diesen Veröffentlichungen geäussert, und ihre übrigen Feststellungen werden dadurch nicht in Frage gestellt.</w:t>
      </w:r>
    </w:p>
    <w:p>
      <w:r>
        <w:t>cc) Der Beschwerdeführer behauptet zwar, die Berichterstatter seien befangen gewesen, zunächst deshalb, weil ihnen die Gründe für eine allfällige Nichtwiederwahl dargelegt worden sind. Die Personalrekurskommission hat hierzu richtig festgehalten, ein Bericht könne nicht im luftleeren Raum verfasst werden, weshalb die Wahlbehörde nicht darum herumkomme, den Berichterstattern kurz darzulegen, worum es konkret gehe (S. 11 des angefochtenen Entscheides).</w:t>
      </w:r>
    </w:p>
    <w:p>
      <w:r>
        <w:t>Im Übrigen hatte die Wahlbehörde klar darauf hingewiesen, dass von den Berichterstattern ein in jeder Hinsicht objektiver und unabhängiger Bericht erwartet wurde ("It is the Reviewer's responsibility to make a well-balanced review", vgl. "Mandate to Reviewer" vom 7. März 2000).</w:t>
      </w:r>
    </w:p>
    <w:p>
      <w:r>
        <w:t>Der nicht näher substantiierte Hinweis über Verbindungen zwischen einem Professor an der ETH und einem der Gutachter - vgl. S. 23 der Verwaltungsgerichtsbeschwerde, wo auf die Ausführungen in der Stellungnahme vom 29. Januar 2001 an die Personalrekurskommission verwiesen wird - vermag sodann für sich einen Ausstandsgrund nicht zu begründen.</w:t>
      </w:r>
    </w:p>
    <w:p>
      <w:r>
        <w:t>dd) Inhaltlich schliesslich konnte sich der Beschwerdeführer zu den fraglichen Berichten wie auch zum übrigen Dossier vor der Personalrekurskommission umfassend äussern, so dass eine Verletzung wesentlicher Verfahrensvorschriften, die zur Aufhebung des angefochtenen Entscheides führen müsste, nicht mehr vorliegt.</w:t>
      </w:r>
    </w:p>
    <w:p>
      <w:r>
        <w:rPr>
          <w:b/>
        </w:rPr>
        <w:t>E. 3</w:t>
      </w:r>
    </w:p>
    <w:p>
      <w:r>
        <w:t>a) Nach Art. 14 Abs. 2 des ETH-Gesetzes bzw. Art. 5 Abs. 1 der ETH-Dozentenverordnung werden ordentliche oder ausserordentliche Professoren in der Regel erstmals für drei Jahre gewählt. Die Wiederwahl erfolgt jeweils für sechs Jahre. Das Institut der Amtsdauer will dem Gemeinwesen ermöglichen, sich von einer auf eine bestimmte Amtsdauer gewählten Person zu trennen, wenn dies im Interesse der bestmöglichen Erfüllung der staatlichen Aufgaben als wünschenswert erscheint; eines wichtigen Grundes für die Nichtwiederwahl bedarf es nicht ( BGE 105 Ia 271 E. 2b S. 274). Immerhin soll auf eine Wiederwahl nur verzichtet werden, wenn ein zureichender sachlicher Grund vorliegt ( BGE 119 Ib 99 E. 2a S. 101; 99 Ib 236 E. 3; Pierre Moor, Droit administratif, Bd. III, Bern 1992, S. 247; Matthias Michel, Beamtenstatus im Wandel, Zürich 1998, S. 141 f.).</w:t>
      </w:r>
    </w:p>
    <w:p>
      <w:r>
        <w:t>Die Nichtwiederwahl darf, anders ausgedrückt, nicht geradezu willkürlich sein (Minh Son Nguyen, La fin des rapports de services, in Helbling/Poledna, Personalrecht des öffentlichen Dienstes, Bern 1999, S. 423).</w:t>
      </w:r>
    </w:p>
    <w:p>
      <w:r>
        <w:t>b) Der Hauptvorwurf an den Beschwerdeführer geht dahin, dass er teilweise eine andere als die im massgeblichen Stellenprofil umschriebene Forschung betrieben habe; damit im Zusammenhang steht der Vorwurf, dass er es an Führungslinie, Klarheit und Strenge ("ligne directrice", "clarté" et "rigueur") habe missen lassen. Die Personalrekurskommission hat hierzu erwogen, der Beschwerdeführer habe von den zwei hauptsächlichen Lehr- und Forschungsgebieten, die zu seinem Aufgabenbereich gehört hätten, den Teil der Altlastensanierung ("réhabilitation des sites contaminés") gut abgedeckt, hingegen habe er den gleichermassen bedeutsamen Teil der Abfallwirtschaft bzw. -bewirtschaftung ("gestion et traitement des déchets") wenig oder nicht betreut.</w:t>
      </w:r>
    </w:p>
    <w:p>
      <w:r>
        <w:t>Der Einwand des Beschwerdeführers, er habe von allem Anfang an Klarheit über die Wahl der Schwerpunkte seiner Forschungsarbeiten und die zeitlichen Prioritäten geschaffen, mag nach Auffassung der Personalrekurskommission bis zu einem gewissen Grad zutreffen. Dies ändere aber nichts daran, dass die einseitige Ausrichtung des Lehr- und Forschungsbetriebs dem Stellenbeschrieb nicht entsprochen habe, hielt die Personalrekurskommission fest. Sie führte weiter aus, diese einseitige Orientierung wäre allenfalls zu akzeptieren gewesen, wenn der Beschwerdeführer dabei - was nicht der Fall sei - nachgerade herausragende Leistungen hätte vorweisen können.</w:t>
      </w:r>
    </w:p>
    <w:p>
      <w:r>
        <w:t>c) Die Überlegungen der Personalrekurskommission für die Nichtwiederwahl des Beschwerdeführers können nicht als unsachlich qualifiziert werden. Sie stellen nicht die Eignung des Beschwerdeführers für eine Professur an einer Technischen Hochschule in Frage, sondern für den konkreten Lehrstuhl an der ETH Lausanne mit der doppelten Ausrichtung des Lehr- und Forschungsbereichs. Es mag, wie die Personalrekurskommission ausführt, bereits eine Fehlbesetzung bei der ursprünglichen Wahl vorgelegen haben, was dem Beschwerdeführer nicht anzulasten ist. Das hindert aber nicht, in besserer Kenntnis nach Ablauf der ersten Amtsperiode von einer Wiederwahl abzusehen. Entspricht der Stelleninhaber dem Anforderungsprofil des Lehrstuhls nicht, so ist dies ein sachlicher Grund für eine Nichtwiederwahl, weshalb der getroffene Entscheid Bundesrecht nicht verletzt.</w:t>
      </w:r>
    </w:p>
    <w:p>
      <w:r>
        <w:t>d) Dass eine Beurteilung der wissenschaftlichen Qualifikation gestützt auf eine Datenbank, welche die Häufigkeit von Zitaten erfasst (vgl. E. 2a), keine hinreichende Grundlage für eine Nichtwiederwahl wäre, ist zutreffend. Die Personalrekurskommission hat im angefochtenen Entscheid aber keinesfalls zur Hauptsache darauf abgestellt, sondern sie hat mit den Erwägungen zur fraglichen Datenbank bloss ihre an anderer Stelle geäusserten Überlegungen untermauert. Eine durch die Datenbank ISI-Web of Science belegte Ausstrahlung der Forschungstätigkeit selbst in den angelsächsischen Sprachraum hätte nämlich Zweifel wecken können oder gar müssen, ob dem Beschwerdeführer nicht doch hervorragende wissenschaftliche Qualifikationen zu attestieren wären, welche die einseitige Orientierung seiner Tätigkeit hätten aufwiegen können.</w:t>
      </w:r>
    </w:p>
    <w:p>
      <w:r>
        <w:rPr>
          <w:b/>
        </w:rPr>
        <w:t>E. 4</w:t>
      </w:r>
    </w:p>
    <w:p>
      <w:r>
        <w:t>Es ergibt sich damit, dass eine Verletzung wesentlicher Verfahrensvorschriften auf Grund des durch die Personalrekurskommission ergänzten Verfahrens nicht mehr vorlag, und in materieller Hinsicht waren sachliche Gründe für eine Nichtwiederwahl gegeben. Dem Beschwerdeführer war auch nicht der Titel eines Professors zu belassen, denn für eine Weiterführung des Titels nach dem Ausscheiden werden in der Regel mehr als sechs Jahre Tätigkeit vorausgesetzt (Art. 17a der ETH-Dozentenverordnung). Da der Titel eines Professors im Hochschulwesen ein Titel ist, den die jeweilige Hochschule vergibt, ist es nicht bundesrechtswidrig, in zeitlicher Hinsicht von einer Anrechnung der früheren Lehrtätigkeit an der Technischen Universität Delft abzusehen.</w:t>
      </w:r>
    </w:p>
    <w:p>
      <w:r>
        <w:rPr>
          <w:b/>
        </w:rPr>
        <w:t>E. 5</w:t>
      </w:r>
    </w:p>
    <w:p>
      <w:r>
        <w:t>Die Verwaltungsgerichtsbeschwerde ist demnach als unbegründet abzuweisen.</w:t>
      </w:r>
    </w:p>
    <w:p>
      <w:r>
        <w:t>Entsprechend diesem Verfahrensausgang hat der Beschwerdeführer die bundesgerichtlichen Kosten zu tragen (Art. 156 Abs. 1 in Verbindung mit Art. 153 und 153a OG ).</w:t>
      </w:r>
    </w:p>
    <w:p>
      <w:r>
        <w:t>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