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2A.311/2002 vom 29. Januar 2003</w:t>
      </w:r>
    </w:p>
    <w:p>
      <w:r>
        <w:t>Bundesgericht, 2003-01-29, DE</w:t>
      </w:r>
    </w:p>
    <w:p>
      <w:r>
        <w:rPr>
          <w:b/>
        </w:rPr>
        <w:t xml:space="preserve">Quelle: </w:t>
      </w:r>
      <w:r>
        <w:t>https://mcp.opencaselaw.ch/entscheid/bger_2A.311_2002</w:t>
      </w:r>
    </w:p>
    <w:p>
      <w:r>
        <w:t>FR: TF 2A.311/2002 du 29 janvier 2003</w:t>
      </w:r>
    </w:p>
    <w:p>
      <w:r>
        <w:t>IT: TF 2A.311/2002 del 29 gennaio 2003</w:t>
      </w:r>
    </w:p>
    <w:p>
      <w:pPr>
        <w:pStyle w:val="Heading2"/>
      </w:pPr>
      <w:r>
        <w:t>Regeste</w:t>
      </w:r>
    </w:p>
    <w:p>
      <w:r>
        <w:t>Immaterialgüter-, Wettbewerbs- und Kartellrecht</w:t>
      </w:r>
    </w:p>
    <w:p>
      <w:pPr>
        <w:pStyle w:val="Heading2"/>
      </w:pPr>
      <w:r>
        <w:t>Erwägungen</w:t>
      </w:r>
    </w:p>
    <w:p>
      <w:r>
        <w:rPr>
          <w:b/>
        </w:rPr>
        <w:t>E. 1.1</w:t>
      </w:r>
    </w:p>
    <w:p>
      <w:r>
        <w:t>Verfahrensgegenstand bildet ein gestützt auf das Bundesgesetz vom 9. Oktober 1992 über das Urheberrecht und verwandte Schutzrechte (Urheberrechtsgesetz, URG; SR 231.1) ergangener Tarifgenehmigungsentscheid der Eidgenössischen Schiedskommission. Gegen einen solchen steht die Verwaltungsgerichtsbeschwerde offen ( Art. 74 Abs. 2 URG ; Art. 97 Abs. 1 OG in Verbindung mit Art. 5 VwVG und Art. 98 lit. e sowie Art. 99 Abs. 1 lit. b OG ). Die Beschwerdeführerin ist als "massgebender Nutzerverband" hierzu legitimiert ( Art. 103 lit. a OG ; Art. 103 lit. c OG in Verbindung mit Art. 46 Abs. 1 und 2 sowie Art. 59 Abs. 2 URG ; vgl. Urteil 2A.245/2000 vom 27. Oktober 2000 [Tarif VI], E. 2a, in: sic! 2001 S. 27 ff.). Auf ihre frist- und formgerecht eingereichte Eingabe ist einzutreten.</w:t>
      </w:r>
    </w:p>
    <w:p>
      <w:r>
        <w:rPr>
          <w:b/>
        </w:rPr>
        <w:t>E. 1.2</w:t>
      </w:r>
    </w:p>
    <w:p>
      <w:r>
        <w:t>Mit Verwaltungsgerichtsbeschwerde kann die Verletzung von Bundesrecht, einschliesslich Überschreitung oder Missbrauch des Ermessens, gerügt werden ( Art. 104 lit. a OG ). An die Feststellung des Sachverhalts ist das Bundesgericht gebunden, wenn - wie hier (vgl. Urteil 2A.491/1998 vom 1. März 1999 [Tarif D], E. 1b, in: sic! 1999 S. 264 ff., mit Hinweis; Urteil 2A.253/1999 vom 17. Februar 2000 [GT Hb], E. 1b) - eine richterliche Behörde als Vorinstanz den Sachverhalt nicht offensichtlich unrichtig, unvollständig oder unter Verletzung wesentlicher Verfahrensbestimmungen ermittelt hat ( Art. 105 Abs. 2 OG ).</w:t>
      </w:r>
    </w:p>
    <w:p>
      <w:r>
        <w:rPr>
          <w:b/>
        </w:rPr>
        <w:t>E. 2.1</w:t>
      </w:r>
    </w:p>
    <w:p>
      <w:r>
        <w:t>Die Schiedskommission genehmigt einen ihr vorgelegten Tarif, wenn er in seinem Aufbau und in den einzelnen Bestimmungen angemessen ist ( Art. 59 Abs. 1 URG ). Bei der Festlegung der Entschädigung ist der aus der Nutzung des Werks, der Darbietung, des Ton- oder Tonbildträgers oder der Sendung erzielte Ertrag bzw. hilfsweise der mit der Nutzung verbundene Aufwand zu berücksichtigen ( Art. 60 Abs. 1 lit. a URG ). Die Entschädigung darf für die Urheberrechte in der Regel höchstens zehn Prozent und für die verwandten Schutzrechte höchstens drei Prozent des Nutzungsertrags oder -aufwands betragen; sie ist jedoch so festzusetzen, dass die Berechtigten bei einer wirtschaftlichen Verwaltung ein angemessenes Entgelt erhalten ( Art. 60 Abs. 2 URG ).</w:t>
      </w:r>
    </w:p>
    <w:p>
      <w:r>
        <w:rPr>
          <w:b/>
        </w:rPr>
        <w:t>E. 2.2</w:t>
      </w:r>
    </w:p>
    <w:p>
      <w:r>
        <w:t>Nach Lehre und Rechtsprechung ist unter dem aus der Nutzung erzielten Ertrag der Bruttoertrag zu verstehen (Barrelet/Egloff, Das neue Urheberrecht, 2. Aufl., Bern 2000, N 11 zu Art. 60; Carlo Govoni, Die Bundesaufsicht über die kollektive Verwertung von Urheberrechten, in: von Büren/David, Schweizerisches Immaterialgüter- und Wettbewerbsrecht, Basel 1995, S. 450; Urteil 2A.491/1998 vom 1. März 1999 [Tarif D], E. 3b/bb, in: sic! 1999 S. 264 ff.; Urteil 2A.141/1997 vom 16. Februar 1998 [GT 5], E. 3e, in: sic! 1998 S. 388 ff.). Dies geht schon aus der Botschaft des Bundesrates so hervor (BBl 1998 III 564). Die Berechtigten sollen prozentual am Umsatz beteiligt werden. Ein bestimmter Geldbetrag (Umsatz) gehört zum anrechenbaren Ertrag, soweit er im Hinblick auf die mit der Veranstaltung verbundene Werknutzung eingenommen wird (Urteil 2A.491/1998 vom 1. März 1999 [Tarif D], E. 3b/bb, in: sic! 1999 S. 264 ff.). Massgebend ist, ob der bezahlte Geldbetrag in einem unmittelbaren Zusammenhang mit der vom Tarif erfassten Tätigkeit und der damit verbundenen Werknutzung steht (Urteil 2A.177/1997 vom 16. Februar 1998 [GT A], E. 5b/aa, in: sic! 1998 S. 295 ff.; Urteil 2A.539/1996 vom 20. Juni 1997 [GT S], E. 4b; in: sic! 1998 S. 33 ff.).</w:t>
      </w:r>
    </w:p>
    <w:p>
      <w:r>
        <w:rPr>
          <w:b/>
        </w:rPr>
        <w:t>E. 2.3.1</w:t>
      </w:r>
    </w:p>
    <w:p>
      <w:r>
        <w:t>Die Beschwerdeführerin macht geltend, Bruttoertrag könne nur sein, was dem Veranstalter selber zufliesse. Wenn dieser den Verkauf der Billette einem Dritten überlasse, so sei nicht massgebend, was das abgesetzte Billett koste, sondern einzig, was der Veranstalter von der Vorverkaufsstelle tatsächlich abgeliefert erhalte. Ob zum Beispiel Verkehrsbetriebe oder Hotels oder eben auch Vorverkaufsstellen von einem Ereignis profitierten, müsse irrelevant sein; massgeblich sei, was letztlich in die Kasse des Veranstalters fliesse.</w:t>
      </w:r>
    </w:p>
    <w:p>
      <w:r>
        <w:rPr>
          <w:b/>
        </w:rPr>
        <w:t>E. 2.3.2</w:t>
      </w:r>
    </w:p>
    <w:p>
      <w:r>
        <w:t>Der Einwand überzeugt nicht: Der Vergleich mit Verkehrsbetrieben oder Hotels geht an der Sache vorbei, weil Entschädigungen für Transport oder Unterbringung zum Vornherein nicht in einem hinreichend engen Zusammenhang zur Nutzung der immateriellen Leistung stehen. Der Preis für das Eintrittsbillett - inklusive des Kostenanteils für den Vorverkauf - wird demgegenüber für die Darbietung eines Werks bezahlt, womit ein unmittelbarer Zusammenhang zu dessen Verwendung besteht. Wie der Veranstalter den Billettverkauf organisiert, ob er ihn selber durchführt oder einem Dritten überlässt, ist nicht entscheidend. Beide Male stellen die Einnahmen massgebenden Bruttoertrag dar und die Aufwendungen Kostenfaktoren, welche zwar den Gewinn schmälern, aber für die Bemessung der urheberrechtlich geschuldeten Entschädigung nicht von Bedeutung sind.</w:t>
      </w:r>
    </w:p>
    <w:p>
      <w:r>
        <w:rPr>
          <w:b/>
        </w:rPr>
        <w:t>E. 2.3.3</w:t>
      </w:r>
    </w:p>
    <w:p>
      <w:r>
        <w:t>Ist damit die Ausgestaltung der vertraglichen Beziehungen zwischen dem Konzertveranstalter und der Vorverkaufsstelle nicht massgebend, geht auch die Rüge, der Sachverhalt sei insofern ungenügend festgestellt, an der Sache vorbei. Die Einnahmen der Vorverkaufsstellen aus Billettverkäufen gehören zum massgebenden Ertrag. Die Genehmigung des von den Verwertungsgesellschaften vorgelegten Tarifs, der in diesem Punkt die bisherige Ordnung lediglich weiterführt, ist somit weder unter dem Gesichtswinkel der Vereinbarkeit mit dem Bundesrecht noch bezüglich der Sachverhaltsfeststellung zu beanstanden.</w:t>
      </w:r>
    </w:p>
    <w:p>
      <w:r>
        <w:rPr>
          <w:b/>
        </w:rPr>
        <w:t>E. 3</w:t>
      </w:r>
    </w:p>
    <w:p>
      <w:r>
        <w:t>Die unterliegende Beschwerdeführerin hat die Kosten für das bundesgerichtliche Verfahren zu tragen (Art. 156 Abs. 1 in Verbindung mit Art. 153 und Art. 153a OG ) sowie die SUISA und die SWISSPERFORM insgesamt angemessen zu entschädigen ( Art. 159 OG ). Nach Art. 3 Abs. 2 des Tarifs über die Entschädigungen an die Gegenpartei für das Verfahren vor dem Bundesgericht (SR 173.119.1) ist dabei von einem herabgesetzten Honorar auszugehen, wenn der Vertreter - wie hier - Organ der Partei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