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2A.307/2003 vom 11. November 2003</w:t>
      </w:r>
    </w:p>
    <w:p>
      <w:r>
        <w:t>Bundesgericht, 2003-11-11, FR</w:t>
      </w:r>
    </w:p>
    <w:p>
      <w:r>
        <w:rPr>
          <w:b/>
        </w:rPr>
        <w:t xml:space="preserve">Quelle: </w:t>
      </w:r>
      <w:r>
        <w:t>https://mcp.opencaselaw.ch/entscheid/bger_2A.307_2003</w:t>
      </w:r>
    </w:p>
    <w:p>
      <w:r>
        <w:t>FR: TF 2A.307/2003 du 11 novembre 2003</w:t>
      </w:r>
    </w:p>
    <w:p>
      <w:r>
        <w:t>IT: TF 2A.307/2003 del 11 novembre 2003</w:t>
      </w:r>
    </w:p>
    <w:p>
      <w:pPr>
        <w:pStyle w:val="Heading2"/>
      </w:pPr>
      <w:r>
        <w:t>Regeste</w:t>
      </w:r>
    </w:p>
    <w:p>
      <w:r>
        <w:t>Économie</w:t>
      </w:r>
    </w:p>
    <w:p>
      <w:pPr>
        <w:pStyle w:val="Heading2"/>
      </w:pPr>
      <w:r>
        <w:t>Erwägungen</w:t>
      </w:r>
    </w:p>
    <w:p>
      <w:r>
        <w:rPr>
          <w:b/>
        </w:rPr>
        <w:t>E. 1</w:t>
      </w:r>
    </w:p>
    <w:p>
      <w:r>
        <w:t>Le Tribunal fédéral examine d'office et avec une pleine cognition la recevabilité des recours qui lui sont soumis ( ATF 129 I 173 consid. 1 p. 174, 185 consid. 1 p. 188; 129 II 225 consid. 1 p. 227, et les arrêts cités).</w:t>
      </w:r>
    </w:p>
    <w:p>
      <w:r>
        <w:rPr>
          <w:b/>
        </w:rPr>
        <w:t>E. 1.1</w:t>
      </w:r>
    </w:p>
    <w:p>
      <w:r>
        <w:t>La voie du recours de droit administratif, empruntée en l'occurrence, est ouverte contre les décisions rendues par le Département fédéral en application de la LBA ( art. 5 PA , mis en relation avec les art. 97 et 98 let. b OJ ; ATF 129 II 438 consid. 1 p. 440).</w:t>
      </w:r>
    </w:p>
    <w:p>
      <w:r>
        <w:rPr>
          <w:b/>
        </w:rPr>
        <w:t>E. 1.2</w:t>
      </w:r>
    </w:p>
    <w:p>
      <w:r>
        <w:t>A teneur de l' art. 104 OJ , le recours de droit administratif peut être formé pour la violation du droit fédéral, y compris l'excès et l'abus du pouvoir d'appréciation (let. a), ainsi que la constatation inexacte ou incomplète des faits pertinents (let. b). Le Tribunal fédéral ne peut en revanche revoir l'opportunité de cette décision, car la LBA ne prévoit pas la possibilité de soulever ce grief (cf. art. 104 let . c OJ). Le Tribunal fédéral examine avec une cognition pleine le grief de violation du droit fédéral ( ATF 123 II 295 consid. 3 p. 298, 385 consid. 3 p. 388). Il n'est pas en l'espèce soumis à la restriction de l' art. 105 al. 2 OJ , puisque la décision attaquée n'émane pas d'une autorité judiciaire. Déterminer si l'autorité intimée a pesé correctement les intérêts en présence constitue une question de droit, qui est examinée librement par le Tribunal fédéral. Celui-ci fait cependant preuve de retenue lorsqu'il se pose des questions techniques dans l'appréciation desquelles le Département fédéral et l'Autorité de contrôle disposent d'une certaine marge d'appréciation (cf. ATF 121 II 147 consid. 3a p. 148/ 149; 116 Ib 73 consid. 1b p. 78, 193 consid. 2d p. 197).</w:t>
      </w:r>
    </w:p>
    <w:p>
      <w:r>
        <w:rPr>
          <w:b/>
        </w:rPr>
        <w:t>E. 2</w:t>
      </w:r>
    </w:p>
    <w:p>
      <w:r>
        <w:t>La recourante critique la décision d'ordonner une révision extraordinaire, quant à son principe, son contenu et sa forme.</w:t>
      </w:r>
    </w:p>
    <w:p>
      <w:r>
        <w:rPr>
          <w:b/>
        </w:rPr>
        <w:t>E. 2.1</w:t>
      </w:r>
    </w:p>
    <w:p>
      <w:r>
        <w:t>Les intermédiaires financiers au sens de l' art. 2 al. 2 et 3 LBA sont tenus par des obligations de diligence pour aider à la prévention et à la répression du blanchiment d'argent (art. 3 à 10 LBA). Ils doivent en outre ou bien s'affilier à un organisme d'autorégulation ou bien obtenir de l'Autorité de contrôle l'autorisation d'exercer leur activité ( art. 14 al. 1 LBA ). Les organismes d'autorégulation veillent à ce que les intermédiaires financiers qui leur sont affiliés respectent leurs obligations légales ( art. 24 al. 1 let. b LBA ). A teneur de l' art. 18 al. 1 LBA , l'Autorité de contrôle octroie ou retire aux organismes d'autorégulation la reconnaissance officielle nécessaire à leur activité (let. a), les surveille, ainsi que leurs affiliés (let. b), approuve leurs règlements (let. c), en contrôle l'application (let. d), précise les obligations de diligence et règle leurs modalités d'application (let. e). Pour l'exécution de ces tâches, l'Autorité de contrôle peut, selon l' art. 18 al. 2 LBA , effectuer des contrôles sur place ou bien désigner un organe de révision à cet effet. C'est sur cette base que l'Autorité de contrôle a confié à Ernst &amp; Young la révision extraordinaire de la recourante, le 5 novembre 2001.</w:t>
      </w:r>
    </w:p>
    <w:p>
      <w:r>
        <w:rPr>
          <w:b/>
        </w:rPr>
        <w:t>E. 2.2</w:t>
      </w:r>
    </w:p>
    <w:p>
      <w:r>
        <w:t>Pour la recourante, cette intervention n'était pas nécessaire. Outre le fait que la décision du 5 novembre 2001 est entrée en force, les arguments de la recourante sur ce point ne sont pas déterminants. Si l'on se replace dans le contexte de l'époque, les événements survenus en octobre 2001 dans la gestion de la recourante, considérés objectivement, imposaient à l'Autorité de contrôle d'agir rapidement afin d'empêcher que la situation ne se dégrade. Sur le vu des procès-verbaux des séances du comité, de la note du 12 octobre 2001 et des lettres de démission de quatre membres du comité, la gravité de la crise était évidente. Il ressort du dossier que le conflit né à propos de l'organisation du secrétariat et du rôle (jugé par certains envahissant) joué par Dynadev et les époux Perret dans la gestion de la recourante était de nature à paralyser son activité. L'Autorité de contrôle ne pouvait laisser s'éterniser une telle situation, s'agissant d'un organisme d'autorégulation regroupant plusieurs centaines d'intermédiaires financiers. A cela s'ajoute que certains membres du comité ont évoqué, à l'appui de leur démission, des faits inquiétants, liés à des conflits d'intérêts potentiels entre l'ARIF et Dynadev, ainsi qu'à certaines négligences dans la conduite du secrétariat.</w:t>
      </w:r>
    </w:p>
    <w:p>
      <w:r>
        <w:rPr>
          <w:b/>
        </w:rPr>
        <w:t>E. 2.3</w:t>
      </w:r>
    </w:p>
    <w:p>
      <w:r>
        <w:t>Selon la recourante, la mission confiée à Ernst &amp; Young était trop étendue quant à son objet. Les mesures déjà prises par le comité étaient suffisantes pour parer à tout danger. Au moment où elle devait agir de manière urgente, l'Autorité de contrôle pouvait avoir de bonnes raisons de considérer avec circonspection les explications lénifiantes fournies par le comité après la démission de quatre de ses membres quant à la marche de la recourante. Compte tenu également du retentissement médiatique de l'affaire, cela commandait de vérifier si les conditions pour la reconnaissance de la recourante comme organisme d'autorégulation agréé étaient encore remplies. Dans ce contexte, la rupture des liens avec Dynadev pouvait faire craindre que des pans entiers de l'activité de la recourante ne soient compromis, ce qui justifiait une enquête approfondie. Cela s'est au demeurant confirmé après coup. A défaut d'irrégularités, les conclusions du rapport du 28 novembre 2001 ont mis en exergue des lacunes dans le fonctionnement de la recourante, qui ont conduit les experts à formuler des recommandations précises, à suivre dans un délai rapproché.</w:t>
      </w:r>
    </w:p>
    <w:p>
      <w:r>
        <w:rPr>
          <w:b/>
        </w:rPr>
        <w:t>E. 2.4</w:t>
      </w:r>
    </w:p>
    <w:p>
      <w:r>
        <w:t>La recourante reproche à l'Autorité de contrôle de ne pas avoir effectué le contrôle elle-même, ni de s'être appuyée sur son organe de révision, ce qui aurait permis de réduire les coûts de l'expertise. Comme le Département fédéral l'a relevé dans la décision attaquée, l'Autorité de contrôle ne disposait pas du personnel nécessaire pour procéder elle-même à la révision extraordinaire. En pareilles circonstances, le recours à des experts extérieurs de l'administration est devenu la règle. Cette situation résulte du choix que le législateur a opéré en édictant la LBA, de mettre sur pied un système d'autorégulation privée, encadrée par des mesures de surveillance étatique. De toute manière, les travaux effectués par Ernst &amp; Young dans un délai très bref n'auraient certainement pas pu être réalisés dans le même laps de temps par le personnel réduit de l'Autorité de contrôle. Quant à la décision de faire appel à une société extérieure, elle se justifiait par le souci d'assurer que l'enquête soit conduite en toute indépendance et impartialité, ce qui n'aurait pas été nécessairement le cas de l'organe de révision, même si celui-ci aurait pu s'épargner l'étude d'éléments qu'il connaissait déjà.</w:t>
      </w:r>
    </w:p>
    <w:p>
      <w:r>
        <w:rPr>
          <w:b/>
        </w:rPr>
        <w:t>E. 3</w:t>
      </w:r>
    </w:p>
    <w:p>
      <w:r>
        <w:t>Pour la recourante, les frais engagés par Ernst &amp; Young seraient excessifs.</w:t>
      </w:r>
    </w:p>
    <w:p>
      <w:r>
        <w:rPr>
          <w:b/>
        </w:rPr>
        <w:t>E. 3.1</w:t>
      </w:r>
    </w:p>
    <w:p>
      <w:r>
        <w:t>L'Autorité de contrôle peut percevoir auprès des organismes d'autorégulation des émoluments pour son activité ( art. 22 al. 1 LBA ). Cette matière est réglée par l'OE-LBA. Aux termes de celle-ci, toute personne qui provoque une prestation ou une décision est tenue de payer un émolument ( art. 2 al. 1 OE -LBA), qui se calcule en fonction du temps consacré ( art. 3 al. 1 OE -LBA). Dans sa teneur antérieure au 1er janvier 2002, cette disposition prévoyait un tarif horaire allant de 140 à 200 fr., porté ensuite de 140 à 300 fr. A ce montant s'ajoute celui des débours, qui comprennent notamment les frais afférents aux travaux que l'Autorité de contrôle confie à des tiers, tels que des éclaircissements, des expertises et des contrôles ( art. 6 let . c OE-LBA). L' art. 7 OE -LBA prévoit que, sur requête de l'assujetti, l'Autorité de contrôle informe celui-ci des émoluments et débours dont il devra vraisemblablement s'acquitter (al. 1); si les prestations sont particulièrement onéreuses, elle l'informe d'office (al. 2). Lorsque des circonstances particulières le justifient, l'Autorité de contrôle peut exiger une avance appropriée ( art. 8 OE -LBA).</w:t>
      </w:r>
    </w:p>
    <w:p>
      <w:r>
        <w:rPr>
          <w:b/>
        </w:rPr>
        <w:t>E. 3.2</w:t>
      </w:r>
    </w:p>
    <w:p>
      <w:r>
        <w:t>En l'occurrence, le montant réclamé participe des débours au sens de l' art. 6 let . c OE-LBA. Contrairement à ce qu'affirme la recourante, le montant de ceux-ci ne doit pas être calculé selon ce que prévoit l' art. 3 al. 1 OE -LBA. L'ordonnance ne commande pas davantage de répercuter les frais seulement dans la mesure fixée par cette disposition. Pour le surplus, le décompte du 30 novembre 2001 indique que les frais d'intervention des différents employés d'Ernst &amp; Young ont été décomptés sur la base d'un tarif horaire variant entre 140 et 530 fr. Ces taux peuvent assurément paraître élevés en rapport de ce que prévoit l' art. 3 al. 1 OE -LBA. Ils s'expliquent toutefois par le fait que l'expert extérieur a dû se mettre à disposition et accomplir la mission confiée à bref délai. Compte tenu de la marge d'appréciation laissée à l'Autorité de contrôle dans ce domaine, il n'y a pas lieu pour le Tribunal fédéral d'intervenir.</w:t>
      </w:r>
    </w:p>
    <w:p>
      <w:r>
        <w:rPr>
          <w:b/>
        </w:rPr>
        <w:t>E. 3.3</w:t>
      </w:r>
    </w:p>
    <w:p>
      <w:r>
        <w:t>La recourante se plaint de ne pas avoir été avertie préalablement du coût estimatif de l'expertise, en violation de l' art. 7 al. 2 OE -LBA. Sur ce point, et contrairement à ce qu'a retenu le Département fédéral, il n'est guère concevable d'admettre que l'Autorité de contrôle pouvait se dispenser d'entendre la recourante, comme le permet l' art. 30 al. 2 let . e PA lorsqu'il y a péril en la demeure. Ce défaut a cependant été réparé dans la procédure de recours de première instance. De toute manière, supposée entendue conformément à l' art. 7 al. 2 OE -LBA, la recourante aurait été bien en peine de faire valoir des arguments qui auraient commandé d'agir différemment de la procédure suivie en l'occurrence.</w:t>
      </w:r>
    </w:p>
    <w:p>
      <w:r>
        <w:rPr>
          <w:b/>
        </w:rPr>
        <w:t>E. 4</w:t>
      </w:r>
    </w:p>
    <w:p>
      <w:r>
        <w:t>La recourante soutient que les frais de l'expertise auraient dû être mis à la charge de Dynadev. Quels que soient les causes profondes de la crise traversée par la recourante et le rôle joué par chacun des protagonistes de l'affaire dans les événements qui ont amené l'Autorité de contrôle à ordonner une révision extraordinaire, il n'en demeure pas moins, au regard du texte clair de l' art. 2 al. 1 OE -LBA, que seuls les intermédiaires financiers et les organismes d'autorégulation à l'égard desquels s'exerce la surveillance de l'Autorité de contrôle peuvent être amenés à supporter les émoluments au sens de l'OE-LBA.</w:t>
      </w:r>
    </w:p>
    <w:p>
      <w:r>
        <w:rPr>
          <w:b/>
        </w:rPr>
        <w:t>E. 5</w:t>
      </w:r>
    </w:p>
    <w:p>
      <w:r>
        <w:t>Enfin, il va de soi que le montant de l'avance versée par l'ARIF à Ernst &amp; Young doit être déduit de l'émolument à payer à l'Autorité de contrôle. Les doutes qui pouvaient encore subsister sur ce point après le prononcé de la décision du 8 juillet 2002 ont été levés dans la décision attaquée.</w:t>
      </w:r>
    </w:p>
    <w:p>
      <w:r>
        <w:rPr>
          <w:b/>
        </w:rPr>
        <w:t>E. 6</w:t>
      </w:r>
    </w:p>
    <w:p>
      <w:r>
        <w:t>Le recours doit ainsi être rejeté. Les frais en sont mis à la charge de la recourante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