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2A.302/2003 vom 26. Juni 2003</w:t>
      </w:r>
    </w:p>
    <w:p>
      <w:r>
        <w:t>Bundesgericht, 2003-06-26, DE</w:t>
      </w:r>
    </w:p>
    <w:p>
      <w:r>
        <w:rPr>
          <w:b/>
        </w:rPr>
        <w:t xml:space="preserve">Quelle: </w:t>
      </w:r>
      <w:r>
        <w:t>https://mcp.opencaselaw.ch/entscheid/bger_2A.302_2003</w:t>
      </w:r>
    </w:p>
    <w:p>
      <w:r>
        <w:t>FR: TF 2A.302/2003 du 26 juin 2003</w:t>
      </w:r>
    </w:p>
    <w:p>
      <w:r>
        <w:t>IT: TF 2A.302/2003 del 26 giugno 2003</w:t>
      </w:r>
    </w:p>
    <w:p>
      <w:pPr>
        <w:pStyle w:val="Heading2"/>
      </w:pPr>
      <w:r>
        <w:t>Erwägungen</w:t>
      </w:r>
    </w:p>
    <w:p>
      <w:r>
        <w:rPr>
          <w:b/>
        </w:rPr>
        <w:t>E. 3</w:t>
      </w:r>
    </w:p>
    <w:p>
      <w:r>
        <w:t>Mit dem vorliegenden Urteil in der Sache selber wird das Gesuch um aufschiebende Wirkung gegenstandslos. Da die Eingabe gestützt auf die publizierte Praxis und die detaillierten Ausführungen im angefochtenen Entscheid aussichtslos war, ist das Gesuch der Beschwerdeführer um unentgeltliche Rechtspflege und Verbeiständung abzuweisen ( Art. 152 OG ), ohne dass zu prüfen wäre, ob sie ihre Bedürftigkeit hinreichend belegt haben. Sie werden damit für das bundesgerichtliche Verfahren kostenpflichtig (Art. 156 Abs. 1 in Verbindung mit Art. 153 und Art. 153a OG ). Parteientschädigungen sind nicht geschuldet (vgl.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