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2A.300/2006 vom 27. Februar 2007</w:t>
      </w:r>
    </w:p>
    <w:p>
      <w:r>
        <w:t>Bundesgericht, 2007-02-27, FR</w:t>
      </w:r>
    </w:p>
    <w:p>
      <w:r>
        <w:rPr>
          <w:b/>
        </w:rPr>
        <w:t xml:space="preserve">Quelle: </w:t>
      </w:r>
      <w:r>
        <w:t>https://mcp.opencaselaw.ch/entscheid/bger_2A.300_2006</w:t>
      </w:r>
    </w:p>
    <w:p>
      <w:r>
        <w:t>FR: TF 2A.300/2006 du 27 février 2007</w:t>
      </w:r>
    </w:p>
    <w:p>
      <w:r>
        <w:t>IT: TF 2A.300/2006 del 27 febbraio 2007</w:t>
      </w:r>
    </w:p>
    <w:p>
      <w:pPr>
        <w:pStyle w:val="Heading2"/>
      </w:pPr>
      <w:r>
        <w:t>Regeste</w:t>
      </w:r>
    </w:p>
    <w:p>
      <w:r>
        <w:t>impôt fédéral direct 1997-1998, impôts cantonal et communal 1996 et 1997 (rappel et soustraction d'impôt) | Finances publiques &amp; droit fiscal</w:t>
      </w:r>
    </w:p>
    <w:p>
      <w:pPr>
        <w:pStyle w:val="Heading2"/>
      </w:pPr>
      <w:r>
        <w:t>Erwägungen</w:t>
      </w:r>
    </w:p>
    <w:p>
      <w:r>
        <w:rPr>
          <w:b/>
        </w:rPr>
        <w:t>E. 1</w:t>
      </w:r>
    </w:p>
    <w:p>
      <w:r>
        <w:t>Le Tribunal fédéral examine d'office et librement la recevabilité des recours qui lui sont soumis ( ATF 132 I 140 consid. 1.1 p. 142). 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 I. Impôt fédéral direct.</w:t>
      </w:r>
    </w:p>
    <w:p>
      <w:r>
        <w:rPr>
          <w:b/>
        </w:rPr>
        <w:t>E. 2</w:t>
      </w:r>
    </w:p>
    <w:p>
      <w:r>
        <w:t>Déposé en temps utile et dans les formes prescrites par la loi contre un arrêt rendu par une autorité judiciaire statuant en dernière instance cantonale et fondé sur le droit public fédéral, le recours de droit administratif est recevable au regard des art. 97 ss OJ , ainsi que de l'art. 146 de la loi fédérale du 14 décembre 1990 sur l'impôt fédéral direct (ci-après: LIFD; RS 642.11), entrée en vigueur le 1er janvier 1995.</w:t>
      </w:r>
    </w:p>
    <w:p>
      <w:r>
        <w:rPr>
          <w:b/>
        </w:rPr>
        <w:t>E. 3</w:t>
      </w:r>
    </w:p>
    <w:p>
      <w:r>
        <w:t>Les recourants ne contestent que le refus de prendre en considération, dans la procédure de rappel d'impôt et de tentative de soustraction, la perte commerciale d'un montant de 163'743 fr. 65 subie en 1995 et 1996. En ce qui concerne l'impôt fédéral direct, sont donc en cause la période de calcul 1995/1996 et la période fiscale 1997/1998. Les recourants n'ont pas invoqué la perte en cause dans la procédure de taxation.</w:t>
      </w:r>
    </w:p>
    <w:p>
      <w:r>
        <w:rPr>
          <w:b/>
        </w:rPr>
        <w:t>E. 3.1</w:t>
      </w:r>
    </w:p>
    <w:p>
      <w:r>
        <w:t>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 art. 151 al. 1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 art. 151 al. 2 LIFD ). Selon l' art. 153 al. 3 LIFD , les dispositions concernant les principes généraux de procédure, les procédures de taxation et de recours s'appliquent par analogie.</w:t>
      </w:r>
    </w:p>
    <w:p>
      <w:r>
        <w:rPr>
          <w:b/>
        </w:rPr>
        <w:t>E. 3.2</w:t>
      </w:r>
    </w:p>
    <w:p>
      <w:r>
        <w:t>Le Tribunal cantonal a examiné la question de savoir si une correction favorable au contribuable - en l'occurrence la prise en compte de la perte, ce qui diminuerait le montant du rappel d'impôt - pouvait être effectuée dans le cadre d'une procédure de rappel d'impôt et a estimé qu'une telle correction n'était pas conforme à la nature de cette procédure. En outre, selon ledit Tribunal, les recourants auraient dû faire valoir la perte subie lors de la procédure de taxation ordinaire, la procédure en rappel n'ayant pas pour fonction de remettre en cause l'ensemble de la taxation. Les recourants n'avaient pas fait valoir cette perte dans leurs déclarations d'impôt et les décisions de taxation des périodes fiscales concernées étaient entrées en force sans avoir été attaquées. Dès lors, pour prendre en compte ladite perte, seule entrerait en considération, le cas échéant, la voie de la révision.</w:t>
      </w:r>
    </w:p>
    <w:p>
      <w:r>
        <w:rPr>
          <w:b/>
        </w:rPr>
        <w:t>E. 3.3</w:t>
      </w:r>
    </w:p>
    <w:p>
      <w:r>
        <w:t>Le rappel d'impôt constitue la perception après coup d'impôts qui n'ont, à tort, pas été perçus dans la cadre de la procédure de taxation. Il est de même nature que la créance primitive d'impôt et n'a, dès lors, pas de caractère pénal ( ATF 121 II 257 consid. 4b p. 265). Le rappel d'impôt n'est soumis qu'à des conditions objectives: il suppose qu'une taxation n'a, à tort, pas été établie ou est restée incomplète, et l'existence d'un motif de rappel. Celui-ci peut être la découverte de faits ou de moyens de preuve inconnus jusque là ou le fait que la taxation, qui n'a pas été effectuée ou qui est incomplète, est due à un crime ou un délit commis contre l'autorité fiscale. Il n'est pas nécessaire que le contribuable ait commis une faute (Hugo Casanova, Le rappel d'impôt, in: RDAF 1999 II p. 3ss; Andrea Pedroli, La revisione a favore del fisco: il ricupero d'imposta, in: RtiD 1993 II p. 491 ss; Klaus A. Vallender, in: Martin Zweifel/Peter Athanas, Kommentar zum schweizerischen Steuerrecht, I/2b, Bundesgesetz über die direkte Bundessteuer (DBG), Art. 83-222, ad art. 151 LIFD p. 405 ss). Le rappel consiste en une nouvelle taxation. Les droits et les obligations du contribuable sont donc les mêmes que lors de la procédure de taxation ( art. 153 al. 3 LIFD ). Les contribuables doivent notamment faire tout ce qui est nécessaire pour assurer une taxation complète et exacte ( art. 126 al. 3 LIFD ). La question se pose de savoir si, pour pouvoir être pris en compte dans la procédure en rappel d'impôt, des faits diminuant la dette fiscale du contribuable doivent, d'une part, être également nouveaux et, d'autre part, avoir une connexité avec les éléments justifiant le rappel. Ce dernier point est controversé dans la doctrine: certains auteurs jugent qu'il doit y avoir une connexité suffisante (Hugo Casanova, op. cit., p. 17; Peter Kubli, Nachsteuerrecht und nachsteuerverfahrensrecht mit Nachsteuersicherstellungsrecht erläutert am Zürcher Steuergesetz über die direkten Steuern, § 17 no 2 p. 38 ss.; Thomas Meister, Rechtsmittelsystem der Steuerharmonisierung, Der Rechtsschutz nach StHG und DBG, p. 243), d'autres qu'un tel élément n'est pas requis (Klaus A. Vallender, op. cit., no 14 ad. art. 151 LIFD , p. 412; arrêt du Tribunal administratif zurichois in StE 1988, B 97.43 no 5). Un argument peut être invoqué à l'appui de cette opinion: dès lors que le rappel constitue une nouvelle taxation, qui obéit aux mêmes règles que la procédure initiale, l'exigence de la connexité avec les éléments justifiant le rappel devrait être réduite au minimum, afin que la nouvelle taxation respecte la capacité contributive du contribuable. Point n'est toutefois besoin de trancher définitivement la question dans la présente affaire (cf. consid. 3.5). A cet égard, le grief que les recourants prétendent tirer de l'obligation d'"instruire à décharge", et donc de prendre en compte la perte revendiquée, fondé sur l' art. 6 CEDH , est dénué de pertinence: cette disposition ne s'applique qu'aux procédures de droit pénal fiscal, et non aux procédures purement fiscales ( ATF 121 II 273 consid. 3b p. 283, 257 consid. 4b p. 264). Or, comme on l'a vu ci-dessus, le rappel n'est pas une procédure de droit pénal fiscal.</w:t>
      </w:r>
    </w:p>
    <w:p>
      <w:r>
        <w:rPr>
          <w:b/>
        </w:rPr>
        <w:t>E. 3.4</w:t>
      </w:r>
    </w:p>
    <w:p>
      <w:r>
        <w:t>Selon l' art. 27 al. 1 LIFD , les contribuables exerçant une activité lucrative indépendante peuvent déduire les frais qui sont justifiés par l'usage commercial ou professionnel. Font notamment partie de ces frais les pertes effectives sur des éléments de la fortune commerciale, à condition qu'elles aient été comptabilisées ( art. 27 al. 2 lettre b LIFD ).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(Archives 73 p. 656, 2A.272/2003; Martin Zweifel, in: Martin Zweifel/Peter Athanas, op. cit.,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w:t>
      </w:r>
    </w:p>
    <w:p>
      <w:r>
        <w:rPr>
          <w:b/>
        </w:rPr>
        <w:t>E. 3.5</w:t>
      </w:r>
    </w:p>
    <w:p>
      <w:r>
        <w:t>Les recourants revendiquent une perte de 163'743 fr. 65 subie lors des exercices 1995 et 1996 à la suite de ventes immobilières. Ils ne donnent pas de détails; ils n'expliquent notamment pas en quoi consiste cette perte, si ce n'est, d'après le dossier, qu'elle se composerait d'un montant de 130'416 fr. 10 relatif à des "travaux de finition, intérêts et frais auprès d'une banque" et d'une somme de 33'327 fr. 55 que les recourants auraient dû verser à une banque en qualité de caution. B.X.________ a un statut d'indépendante à double titre puisque, outre l'exploitation de sa raison individuelle, elle a été considérée comme une commerçante professionnelle d'immeubles dès 1990. Elle doit donc tenir une comptabilité, ou du moins l'état des actifs et des passifs, les relevés des recettes et des dépenses ainsi que des prélèvements et apports privés. En ce qui concerne les travaux de finition de 130'416 fr. 10, le dossier contient des relevés manuscrits qui ne sont ni datés ni signés. Des factures de 1993, 1994 et 1995 sont additionnées dans un même relevé. On ignore quand ces factures ont été payées. Ces documents ne sont ainsi pas probants. Le Service des contributions a même retenu que ces frais n'avaient d'ailleurs pas été comptabilisés. En tous cas, les frais de finition que les recourants affirment avoir subis ne l'ont pas été correctement dans des relevés établis chronologiquement aux dates successives de bouclement des exercices commerciaux déterminants pour les périodes fiscales en cause. Les conditions de l' art. 27 al. 1 lettre b LIFD ne L'argumentation des recourants est du reste significative quant à leur manque de rigueur comptable puisqu'ils demandent la déduction de la "perte qui se rapporte, ..., aux exercices commerciaux 1995 et 1996 et qui s'élève à un montant total de CHF 163'743.65", sans préciser quel montant se rapporte à quelle année. Les recourants demandent également la déduction d'une perte résultant d'un cautionnement de 33'327 fr. 55. Une telle perte, pour autant que le cautionnement soit en lien direct avec l'activité professionnelle du contribuable, et qu'elle ait été correctement comptabilisée, fait partie des frais généraux justifiés par l'usage commercial; elle est donc en principe déductible du bénéfice au titre de charge. Toutefois, de l'activité commerciale des recourants, n'a pas non plus été correctement comptabilisée. Elle figure sur le même relevé non signé que les frais susmentionnés qui n'a pas de force probante. Même si l'on faisait abstraction de l'exigence d'une connexité entre les faits nouveaux invoqués par les recourants et le motif du rappel d'impôt, les conditions de l' art. 27 al. 1 lettre b LIFD ne seraient pas remplies et la perte résultant du cautionnement ne serait pas déductible.</w:t>
      </w:r>
    </w:p>
    <w:p>
      <w:r>
        <w:rPr>
          <w:b/>
        </w:rPr>
        <w:t>E. 4.1</w:t>
      </w:r>
    </w:p>
    <w:p>
      <w:r>
        <w:t>L' art. 176 LIFD prévoit que celui qui tente de soustraire à l'impôt sera puni d'une amende (al. 1). L'amende est fixée aux deux tiers de la peine qui serait infligée si la soustraction avait été commise intentionnellement et consommée (al. 2).</w:t>
      </w:r>
    </w:p>
    <w:p>
      <w:r>
        <w:rPr>
          <w:b/>
        </w:rPr>
        <w:t>E. 4.2</w:t>
      </w:r>
    </w:p>
    <w:p>
      <w:r>
        <w:t>Contrairement à la procédure de rappel (cf. consid. 3.3), la procédure de soustraction d'impôt relève du droit pénal fiscal au sens de l' art. 6 CEDH et cette disposition lui est applicable ( ATF 121 II 257 consid. 4b p. 264).</w:t>
      </w:r>
    </w:p>
    <w:p>
      <w:r>
        <w:rPr>
          <w:b/>
        </w:rPr>
        <w:t>E. 4.3</w:t>
      </w:r>
    </w:p>
    <w:p>
      <w:r>
        <w:t>Les recourants estiment que l'autorité de taxation avait une décharge, et devait par conséquent prendre en compte la perte de 163'743 fr. 65 dans la procédure en soustraction. L'argumentation des recourants n'est pas pertinente. La prise en compte d'une perte - quand bien même sa réalité aurait été établie et qu'elle aurait été comptabilisée correctement - ne modifierait pas nécessairement le montant de l'amende. L'amende est en effet infligée sur la base du montant d'impôt soustrait (art. 176 al. 2 et 175 al. 2 LIFD) et non d'après celui qui résulterait du revenu finalement imposable même si ces montants coïncident souvent. En l'espèce, la perte en cause ne modifie en rien la soustraction commise. Au surplus, une comptabilité mal tenue ne saurait justifier un allégement de la peine. Au vu de ce qui précède, on ne peut reprocher à l'autorité fiscale une instruction lacunaire qui aurait abouti à une amende trop sévère. En conséquence, l' art. 6 CEDH n'a pas été violé. II. Impôts cantonal et communal.</w:t>
      </w:r>
    </w:p>
    <w:p>
      <w:r>
        <w:rPr>
          <w:b/>
        </w:rPr>
        <w:t>E. 5.1</w:t>
      </w:r>
    </w:p>
    <w:p>
      <w:r>
        <w:t>Les recourants ont déposé, devant le Tribunal fédéral, un recours de droit administratif. La perte commerciale dont il demande la déduction a été subie en 1995 et 1996. Sont ainsi en cause, en ce qui concerne l'impôt cantonal et communal, les périodes fiscales 1996 et 1997.</w:t>
      </w:r>
    </w:p>
    <w:p>
      <w:r>
        <w:rPr>
          <w:b/>
        </w:rPr>
        <w:t>E. 5.2</w:t>
      </w:r>
    </w:p>
    <w:p>
      <w:r>
        <w:t>Selon la jurisprudence du Tribunal fédéral, la voie du recours de droit administratif prévue par l'art. 73 de la loi fédérale du 14 décembre 1990 sur l'harmonisation des impôts directs des cantons et des communes (LHID; RS 642.14), entrée en vigueur le 1er janvier 1993, n'est pas ouverte contre des taxations antérieures à 2001 ( art. 72 al. 1 LHID ), cela même à l'égard des cantons qui avaient déjà adapté leur législation ( ATF 123 II 588 consid. 2 p. 591). Or, en l'occurrence, les périodes fiscales concernées sont antérieures à 2001. Dès lors, le recours de droit administratif est irrecevable en ce qui concerne l'impôt cantonal et communal. Toutefois, en agissant par la voie du recours de droit administratif, les recourants n'ont fait que suivre les indications données sur l'arrêt attaqué (p. 16). Or, en vertu du droit à la protection de la bonne foi, inscrit à l' art. 9 Cst. , le justiciable qui se fie à une indication erronée des voies de droit ne doit en subir aucun préjudice (cf. ATF 131 I 153 consid. 4 p. 158; 124 I 255 consid. 1a/aa p. 258). Le recours de droit administratif peut ainsi être converti en l'espèce en recours de droit public sans qu'il soit nécessaire d'être trop strict sur la motivation.</w:t>
      </w:r>
    </w:p>
    <w:p>
      <w:r>
        <w:rPr>
          <w:b/>
        </w:rPr>
        <w:t>E. 5.3</w:t>
      </w:r>
    </w:p>
    <w:p>
      <w:r>
        <w:t>Sous réserve d'exceptions non réalisées en l'espèce, le recours de droit public est de nature purement cassatoire ( ATF 132 I 68 consid. 1.5 p. 71 et la jurisprudence citée). Dans la mesure où les recourants demandent autre chose que l'annulation de l'arrêt attaqué, soit que la perte commerciale de 163'743 fr. 70 soit prise en compte dans la procédure en soustraction d'impôt, leur conclusion est irrecevable.</w:t>
      </w:r>
    </w:p>
    <w:p>
      <w:r>
        <w:rPr>
          <w:b/>
        </w:rPr>
        <w:t>E. 6</w:t>
      </w:r>
    </w:p>
    <w:p>
      <w:r>
        <w:t>Les recourants n'indiquent pas que le droit cantonal contiendrait une réglementation différente de la loi sur l'impôt fédéral direct ni en ce qui concerne la procédure de rappel (art. 173 de la loi d'impôt jurassienne du 26 mai 1988; ci-après: LI) et celle de tentative de soustraction (art. 200 LI), ni quant à la déduction des pertes subies sur des éléments de la fortune commerciale (art. 25 al. 2 let. b LI) et la tenue des comptes pour les indépendants (art. 138 LI). En conséquence, les considérations développées ci-dessus pour l'impôt fédéral direct s'appliquent également aux impôts cantonal et communal (cf. consid. 3 et 4). L'arrêt du Tribunal constate donc à bon droit que la perte de 163'743 fr. 65 revendiquée par les recourants ne doit pas être prise en compte dans les procédures susmentionnées et le revenu imposable des recourants a été correctement déterminé.</w:t>
      </w:r>
    </w:p>
    <w:p>
      <w:r>
        <w:rPr>
          <w:b/>
        </w:rPr>
        <w:t>E. 7</w:t>
      </w:r>
    </w:p>
    <w:p>
      <w:r>
        <w:t>Vu ce qui précède, mal fondé, le recours de droit administratif doit être rejeté. Il en va de même du recours de droit public dans la mesure où il est recevable. Succombant, les recourants doivent supporter les frais judiciaires solidairement entre eux ( art. 156 al. 1 OJ ).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