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2A.280/2003 vom 30. September 2003</w:t>
      </w:r>
    </w:p>
    <w:p>
      <w:r>
        <w:t>Bundesgericht, 2003-09-30, DE</w:t>
      </w:r>
    </w:p>
    <w:p>
      <w:r>
        <w:rPr>
          <w:b/>
        </w:rPr>
        <w:t xml:space="preserve">Quelle: </w:t>
      </w:r>
      <w:r>
        <w:t>https://mcp.opencaselaw.ch/entscheid/bger_2A.280_2003</w:t>
      </w:r>
    </w:p>
    <w:p>
      <w:r>
        <w:t>FR: TF 2A.280/2003 du 30 septembre 2003</w:t>
      </w:r>
    </w:p>
    <w:p>
      <w:r>
        <w:t>IT: TF 2A.280/2003 del 30 settembre 2003</w:t>
      </w:r>
    </w:p>
    <w:p>
      <w:pPr>
        <w:pStyle w:val="Heading2"/>
      </w:pPr>
      <w:r>
        <w:t>Regeste</w:t>
      </w:r>
    </w:p>
    <w:p>
      <w:r>
        <w:t>Bürgerrecht und Ausländerrecht</w:t>
      </w:r>
    </w:p>
    <w:p>
      <w:pPr>
        <w:pStyle w:val="Heading2"/>
      </w:pPr>
      <w:r>
        <w:t>Erwägungen</w:t>
      </w:r>
    </w:p>
    <w:p>
      <w:r>
        <w:rPr>
          <w:b/>
        </w:rPr>
        <w:t>E. 1</w:t>
      </w:r>
    </w:p>
    <w:p>
      <w:r>
        <w:t>Art. 100 Abs. 1 lit. b OG schliesst die Verwaltungsgerichtsbeschwerde auf dem Gebiet der Fremdenpolizei aus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Staatsvertrags berufen ( BGE 128 II 145 E. 1.1.1; 127 II 161 E. 1a S. 164, je mit Hinweisen).</w:t>
      </w:r>
    </w:p>
    <w:p>
      <w:r>
        <w:rPr>
          <w:b/>
        </w:rPr>
        <w:t>E. 1.1</w:t>
      </w:r>
    </w:p>
    <w:p>
      <w:r>
        <w:t>Nach Art. 7 Abs. 1 ANAG (in der Fassung vom 23. März 1990) hat der ausländische Ehegatte eines Schweizer Bürgers grundsätzlich Anspruch auf Erteilung und Verlängerung der Aufenthaltsbewilligung (Satz 1) sowie nach einem ordnungsgemässen und ununterbrochenen Aufenthalt von fünf Jahren auf Erteilung der Niederlassungsbewilligung (Satz 2); der Anspruch erlischt, wenn ein Ausweisungsgrund vorliegt (Satz 3). Für die Eintretensfrage ist im Zusammenhang mit Art. 7 ANAG einzig darauf abzustellen, ob formell eine Ehe besteht; anders als bei Art. 8 der Konvention vom 4. November 1950 zum Schutze der Menschenrechte und Grundfreiheiten (Europäische Menschenrechtskonvention, EMRK; SR 0.101; vgl. dazu BGE 126 II 425 E. 2a S. 427, mit Hinweisen) ist nicht erforderlich, dass die Ehe intakt ist und tatsächlich gelebt wird ( BGE 128 II 145 E. 1.1.2 S. 148 f.; 126 II 265 E. 1b S. 266; 122 II 289 E. 1b S. 292, je mit Hinweisen).</w:t>
      </w:r>
    </w:p>
    <w:p>
      <w:r>
        <w:rPr>
          <w:b/>
        </w:rPr>
        <w:t>E. 1.2</w:t>
      </w:r>
    </w:p>
    <w:p>
      <w:r>
        <w:t>Bei der Prüfung der materiellen Rechtmässigkeit eines fremdenpolizeilichen Entscheids sind für das Bundesgericht in der Regel die tatsächlichen Verhältnisse massgebend, wie sie zum Zeitpunkt des Entscheids der richterlichen Vorinstanz herrschten; dies ergibt sich aus Art. 105 Abs. 2 OG (vgl. unten E. 2.1). Für die Eintretensfrage hingegen, d.h. für die Frage, ob ein Anspruch im Sinne von Art. 100 Abs. 1 lit. b Ziff. 3 OG vorliegt, stellt das Bundesgericht grundsätzlich auf die im Zeitpunkt seinen Entscheides bestehende Rechts- und Sachlage ab ( BGE 128 II 145 E. 1.1.3 S. 149; 127 II 60 E. 1b S. 63, je mit Hinweisen).</w:t>
      </w:r>
    </w:p>
    <w:p>
      <w:r>
        <w:rPr>
          <w:b/>
        </w:rPr>
        <w:t>E. 1.3</w:t>
      </w:r>
    </w:p>
    <w:p>
      <w:r>
        <w:t>Die Ehe des Beschwerdeführers mit seiner Schweizer Gattin wurde am 17. Oktober 2001 geschieden. Er hat deshalb keinen Anspruch mehr auf eine Aufenthaltsbewilligung nach Art. 7 Abs. 1 erster Satz ANAG. Sollte er aber vor der Scheidung einen Anspruch auf Niederlassungsbewilligung gemäss Art. 7 Abs. 1 zweiter Satz ANAG erworben haben, so kann er sich hierauf auch nach Beendigung der Ehe berufen ( BGE 128 II 145 E. 1.1.4 S. 149, mit Hinweisen). Wohl steht vorliegend keine Niederlassungsbewilligung in Frage, beantragt doch der Beschwerdeführer einzig die Erteilung einer Aufenthaltsbewilligung. Indessen könnte ihm, falls ein Anspruch auf Niederlassungsbewilligung bestünde, was als Rechtsfrage von Amtes wegen zu berücksichtigen ist, die - ein weniger gefestigtes Anwesenheitsrecht gewährende - Aufenthaltsbewilligung erst recht nicht verweigert werden ( BGE 128 II 145 E. 1.1.4 S. 149, mit Hinweisen).</w:t>
      </w:r>
    </w:p>
    <w:p>
      <w:r>
        <w:rPr>
          <w:b/>
        </w:rPr>
        <w:t>E. 1.4</w:t>
      </w:r>
    </w:p>
    <w:p>
      <w:r>
        <w:t>Das Justiz- und Polizeidepartement des Kantons St. Gallen hat dem Beschwerdeführer indessen am 26. Juni 2002 die Niederlassungsbewilligung verweigert; dieser Entscheid ist in Rechtskraft erwachsen. Damit ist rechtskräftig festgestellt, dass der Beschwerdeführer vor der Scheidung keinen Anspruch auf eine Niederlassungsbewilligung erworben hat, was nach dem Gesagten bedeutet, dass er auch keinen Anspruch auf eine Aufenthaltsbewilligung erworben hat (vgl. Urteil des Bundesgerichts vom 23. September 2002, 2A.260/2002, E. 1.2).</w:t>
      </w:r>
    </w:p>
    <w:p>
      <w:r>
        <w:rPr>
          <w:b/>
        </w:rPr>
        <w:t>E. 1.5</w:t>
      </w:r>
    </w:p>
    <w:p>
      <w:r>
        <w:t>Der Beschwerdeführer kann auch aus Art. 8 EMRK keinen Anspruch auf eine Aufenthaltsbewilligung ableiten: Er ist von seiner damaligen Ehefrau geschieden und hat sich mit einer Mazedonierin verheiratet, die bislang kein gefestigtes Anwesenheitsrecht in der Schweiz hat. Nachdem das Amtsgericht Y.________ im Aberkennungsprozess die Vaterschaft des Beschwerdeführers in Bezug auf den während seiner ersten Ehe geborenen Sohn verneint hat, kann er auch diesbezüglich keinen Anspruch aus Art. 8 EMRK ableiten.</w:t>
      </w:r>
    </w:p>
    <w:p>
      <w:r>
        <w:rPr>
          <w:b/>
        </w:rPr>
        <w:t>E. 2</w:t>
      </w:r>
    </w:p>
    <w:p>
      <w:r>
        <w:t>Fehlt es nach dem Gesagten an einem Rechtsanspruch im Sinne von Art. 100 Abs. 1 lit. b Ziff. 3 OG auf die anbegehrte Aufenthaltsbewilligung, so ist auf die Verwaltungsgerichtsbeschwerde nicht einzutreten. In der Sache selbst kann die Eingabe mangels Legitimation im Sinne von Art. 88 OG auch nicht als staatsrechtliche Beschwerde anhand genommen werden. Verfahrensrechtliche Rügen, die im Rahmen einer staatsrechtlichen Beschwerde auch ohne Legitimation in der Sache geltend gemacht werden können (vgl. BGE 114 Ia 307 E. 3c S. 312 f.; 127 II 161 E. 3b S. 167), werden nicht erhoben.</w:t>
      </w:r>
    </w:p>
    <w:p>
      <w:r>
        <w:rPr>
          <w:b/>
        </w:rPr>
        <w:t>E. 3</w:t>
      </w:r>
    </w:p>
    <w:p>
      <w:r>
        <w:t>Auf die Beschwerde ist daher nicht einzutreten. Bei diesem Ausgang des Verfahrens sind die Gerichtskosten dem unterliegenden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