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2A.277/2005 vom 30. August 2005</w:t>
      </w:r>
    </w:p>
    <w:p>
      <w:r>
        <w:t>Bundesgericht, 2005-08-30, DE</w:t>
      </w:r>
    </w:p>
    <w:p>
      <w:r>
        <w:rPr>
          <w:b/>
        </w:rPr>
        <w:t xml:space="preserve">Quelle: </w:t>
      </w:r>
      <w:r>
        <w:t>https://mcp.opencaselaw.ch/entscheid/bger_2A.277_2005</w:t>
      </w:r>
    </w:p>
    <w:p>
      <w:r>
        <w:t>FR: TF 2A.277/2005 du 30 août 2005</w:t>
      </w:r>
    </w:p>
    <w:p>
      <w:r>
        <w:t>IT: TF 2A.277/2005 del 30 agosto 2005</w:t>
      </w:r>
    </w:p>
    <w:p>
      <w:pPr>
        <w:pStyle w:val="Heading2"/>
      </w:pPr>
      <w:r>
        <w:t>Regeste</w:t>
      </w:r>
    </w:p>
    <w:p>
      <w:r>
        <w:t>Akteneinsicht | Post- und Fernmeldeverkehr</w:t>
      </w:r>
    </w:p>
    <w:p>
      <w:pPr>
        <w:pStyle w:val="Heading2"/>
      </w:pPr>
      <w:r>
        <w:t>Erwägungen</w:t>
      </w:r>
    </w:p>
    <w:p>
      <w:r>
        <w:rPr>
          <w:b/>
        </w:rPr>
        <w:t>E. 1.1</w:t>
      </w:r>
    </w:p>
    <w:p>
      <w:r>
        <w:t>Die Verwaltungsgerichtsbeschwerde ist gegen Verfügungen zulässig, die sich auf öffentliches Recht des Bundes stützen oder hätten stützen sollen und von einer der in Art. 98 des Bundesrechtspflegegesetzes (OG, SR 173.110) genannten Vorinstanzen ausgehen; zudem darf ihr keiner der in Art. 99 ff. OG oder in der Spezialgesetzgebung vorgesehenen Ausschlussgründe entgegenstehen (Art. 97 in Verbindung mit Art. 5 VwVG [SR 172.021]). Gegen Zwischenentscheide ist die Verwaltungsgerichtsbeschwerde zulässig, sofern dieses Rechtsmittel auch gegen den Endentscheid offen steht (vgl. Art. 101 lit. a OG ) und dem Betroffenen ein nicht wieder gutzumachender Nachteil droht ( Art. 97 OG in Verbindung mit Art. 5 und Art. 45 Abs. 1 VwVG ). Diese Voraussetzung gilt auch für die in Art. 45 Abs. 2 VwVG als selbständig anfechtbar bezeichneten Zwischenverfügungen ( BGE 127 II 132 E. 2a S. 136; 125 II 613 E. 2a S. 619 f.). Der Nachteil muss nicht rechtlicher Natur sein; die Beeinträchtigung in schutzwürdigen tatsächlichen, insbesondere auch wirtschaftlichen Interessen genügt, sofern der Betroffene nicht nur versucht, eine Verlängerung oder Verteuerung des Verfahrens zu verhindern ( BGE 130 II 149 E. 1.1 S. 153; 127 II 132 E. 2a S. 136; 125 II 613 E. 2a S. 620; 120 Ib 97 E. 1c S. 99 f., vgl. u.a. auch Alfred Kölz/Isabelle Häner, Verwaltungsverfahren und Verwaltungsrechtspflege des Bundes, 2. Auflage 1998, N. 516 mit Hinweisen).</w:t>
      </w:r>
    </w:p>
    <w:p>
      <w:r>
        <w:rPr>
          <w:b/>
        </w:rPr>
        <w:t>E. 1.2.1</w:t>
      </w:r>
    </w:p>
    <w:p>
      <w:r>
        <w:t>Bei der angefochtenen Verfügung über die Akteneinsicht handelt es sich um einen Zwischenentscheid, der als solcher zum Vornherein nur dann der Verwaltungsgerichtsbeschwerde unterliegen kann, wenn dieses Rechtsmittel auch gegen den Endentscheid zulässig ist (vgl. E. 1.1). Das streitige Akteneinsichtsgesuch bezieht sich auf konzessions- und aufsichtsrechtliche Verfahren, in denen - als Folge der Nichteinhaltung von Konzessionsauflagen - als Endentscheid eine der Verwaltungsgerichtsbeschwerde an das Bundesgericht unterliegende Anordnung ergehen könnte (Änderung oder Widerruf der Konzession). Der Ausschlussgrund von Art. 99 Abs. 1 lit. d OG käme in einem solchen Fall nicht zum Tragen (vgl. auch Art. 61 FMG ). Insofern können auch die in diesem Verfahren ergehenden Zwischenverfügungen diesem Rechtsmittel unterliegen. Sodann ist die für die Anfechtung von Zwischenentscheiden geltende kürzere Rechtsmittelfrist von zehn Tagen ( Art. 106 Abs. 1 OG ) vorliegend eingehalten.</w:t>
      </w:r>
    </w:p>
    <w:p>
      <w:r>
        <w:rPr>
          <w:b/>
        </w:rPr>
        <w:t>E. 1.2.2</w:t>
      </w:r>
    </w:p>
    <w:p>
      <w:r>
        <w:t>Für die Anfechtbarkeit des streitigen Zwischenentscheides fehlt es jedoch an der Voraussetzung des drohenden unheilbaren Nachteils (vgl. zur Handhabung dieses Erfordernisses bei Verfügungen über die Akteneinsicht Urteil 2A.691/2004 vom 17. Mai 2005, E. 1.2.2, mit Hinweisen). Was die Beschwerdeführerin diesbezüglich vortragen lässt (vgl. Ziff. 8 - 14 der Beschwerdeschrift sowie S. 1 und 2 des Gesuchs vom 19. August 2005 um Anordnung eines zweiten Schriftenwechsels), ist nicht geeignet, das Vorliegen eines drohenden unheilbaren Nachteils bzw. ein qualifiziertes schutzwürdiges Interesse an der sofortigen gesonderten Überprüfung der angefochtenen Zwischenverfügung über den Umfang der zu gewährenden Akteneinsicht darzutun: Soweit sich die Beschwerdeführerin auf die ihr durch das eröffnete Aufsichtsverfahren verursachten "erheblichen Rechtsvertreter- und Beraterkosten" beruft, droht ihr nach dem Gesagten (vgl. E. 1.1, am Ende) kein unheilbarer Nachteil. Des weiteren vermag auch der behauptete "Imageschaden", den die Beschwerdeführerin durch das gegen sie eröffnete Verfahren erleiden soll, noch kein qualifiziertes Interesse an einer sofortigen Beurteilung zu begründen. Ebenso wenig stichhaltig erscheint das Argument, dass die Beschwerdeführerin, anders als die übrigen Konzessionärinnen, keine Einnahmen aus der Erbringung von Telekommunikationsdienstleistungen erziele und im Gegensatz zu den anderen Konzessionärinnen, welche ungestört ihre Aufbauarbeiten fortsetzen könnten, mit einem Aufsichtsverfahren und entsprechenden Anfragen von Medienunternehmen konfrontiert sei. Dass die Beschwerdeführerin bei der Ausnützung der Konzession ins Hintertreffen geraten ist, ist nicht die Folge der vorliegenden Verfahren, sondern hat diese erst ausgelöst. Dass die Vorinstanz ihren Entscheid über die Akteneinsicht auf tatsächliche Annahmen stützt (Fehlen konkreter Anhaltspunkte für eine Ungleichbehandlung), welche von der Beschwerdeführerin bestritten werden, vermag die Zulässigkeit der vorliegenden Beschwerde ebenfalls nicht zu begründen; die Beschwerdeführerin kann diesbezügliche Rügen ohne Risiko eines unheilbaren Nachteils auch noch im Anschluss an den Endentscheid vorbringen. Ihrem Gesuch, es sei ihr zur Beantwortung von in der Vernehmlassung der Vorinstanz enthaltenen neuen tatsächlichen und rechtlichen Vorbringen eine Replikmöglichkeit einzuräumen, ist nicht zu entsprechen. Die Beschwerdeführerin macht ferner geltend, es drohe ihr, falls ihr Akteneinsichtsrecht erst im Anschluss an den Endentscheid der Eidgenössischen Kommunikationskommission erfüllt werde, ein unheilbarer Nachteil dadurch, dass das Bundesgericht diesen Entscheid nur mit Zurückhaltung überprüfen werde und ihr damit im Ergebnis eine Instanz verloren gehe. Dem ist entgegenzuhalten, dass das Bundesgericht den Entscheid der Eidgenössischen Kommunikationskommission - bei der es sich nicht um eine richterliche Behörde im Sinne von Art. 105 Abs. 2 OG handelt - nicht bloss in rechtlicher Hinsicht, sondern auch bezüglich der Sachverhaltsermittlung frei überprüfen kann (Urteil 2A.587/2003 vom 1. Oktober 2004, E. 3.2). Dass das Bundesgericht bei der Würdigung technischer oder anderer Fachfragen Zurückhaltung übt, trifft zwar zu (erwähntes Urteil, E. 3.5). Dies hat aber zugleich zur Folge, dass das Bundesgericht bei Verletzung des rechtlichen Gehörs - zum Beispiel durch ungenügende Gewährung der Einsicht in relevante Akten - in der Regel keinen eigenen Sachentscheid fällt, sondern die Angelegenheit zur verbesserten Sachverhaltsabklärung und Gewährung des rechtlichen Gehörs an die Vorinstanz zurückweist (vgl. Art. 114 Abs. 2 OG ). Der durch die Verweigerung der Akteneinsicht betroffenen Partei droht auch in dieser Hinsicht kein unheilbarer Nachteil.</w:t>
      </w:r>
    </w:p>
    <w:p>
      <w:r>
        <w:rPr>
          <w:b/>
        </w:rPr>
        <w:t>E. 2</w:t>
      </w:r>
    </w:p>
    <w:p>
      <w:r>
        <w:t>Soweit die Beschwerdeführerin die in den Erwägungen bzw. in der Sachverhaltsdarstellung des angefochtenen Entscheides (S. 2) enthaltene Feststellung anfechten will, wonach die drei anderen Konzessionärinnen die Versorgungsvorgaben erfüllt hätten (vgl. Ziff. 1 des Beschwerdebegehrens), übersieht sie, dass diese Feststellung nicht Gegenstand der streitigen Zwischenverfügung bildet. Sie dient lediglich der Begründung des Entscheides über den Umfang der Akteneinsicht und kann damit keine Rechtskraft beanspruchen. Da der Entscheid über die Akteneinsicht nach dem Gesagten nicht gesondert anfechtbar ist, kann auch die Richtigkeit von Feststellungen, die der Begründung dieses Entscheides dienen, nicht Gegenstand der vorliegenden Verwaltungsgerichtsbeschwerde bilden.</w:t>
      </w:r>
    </w:p>
    <w:p>
      <w:r>
        <w:rPr>
          <w:b/>
        </w:rPr>
        <w:t>E. 3</w:t>
      </w:r>
    </w:p>
    <w:p>
      <w:r>
        <w:t>Auf die Verwaltungsgerichtsbeschwerde ist nicht einzutreten. Bei diesem Verfahrensausgang sind die Gerichtskosten der Beschwerdeführerin aufzuerlegen (Art. 156 in Verbindung mit Art. 153 und Art. 153a OG ). Parteikosten sind keine zu 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