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2A.276/2003 vom 7. April 2004</w:t>
      </w:r>
    </w:p>
    <w:p>
      <w:r>
        <w:t>Bundesgericht, 2004-04-07, DE</w:t>
      </w:r>
    </w:p>
    <w:p>
      <w:r>
        <w:rPr>
          <w:b/>
        </w:rPr>
        <w:t xml:space="preserve">Quelle: </w:t>
      </w:r>
      <w:r>
        <w:t>https://mcp.opencaselaw.ch/entscheid/bger_2A.276_2003</w:t>
      </w:r>
    </w:p>
    <w:p>
      <w:r>
        <w:t>FR: TF 2A.276/2003 du 7 avril 2004</w:t>
      </w:r>
    </w:p>
    <w:p>
      <w:r>
        <w:t>IT: TF 2A.276/2003 del 7 aprile 2004</w:t>
      </w:r>
    </w:p>
    <w:p>
      <w:pPr>
        <w:pStyle w:val="Heading2"/>
      </w:pPr>
      <w:r>
        <w:t>Erwägungen</w:t>
      </w:r>
    </w:p>
    <w:p>
      <w:r>
        <w:rPr>
          <w:b/>
        </w:rPr>
        <w:t>E. 1.1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t>Gemäss Art. 36 BGFA sodann sind Personen, die auf Grund bisherigen kantonalen Rechts über ein Anwaltspatent verfügen, ins kantonale Anwaltsregister einzutragen, sofern sie in den anderen Kantonen nach Art. 196 Ziff. 5 BV der Bundesverfassung eine Berufausübungsbewilligung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1.2</w:t>
      </w:r>
    </w:p>
    <w:p>
      <w:r>
        <w:t>Der Beschwerdeführerin wird der Eintrag ins kantonale Register mit der Begründung verweigert, dass sie mangels Nachweises der erforderlichen Unabhängigkeit von ihrer Arbeitgeberfirma die Voraussetzungen für eine Berufsausübungsbewilligung schon nach der bisherigen kantonalen Praxis nicht erfüllt habe; eine genügende vertragliche Regelung mit der Arbeitgeberin über die Unabhängigkeit habe nämlich nicht bestanden, eine solche sei vielmehr erst im Zusatz zum Arbeitsvertrag vom 16. Oktober 2002, nach Inkrafttreten des Anwaltsgesetzes, geschaffen worden; die Beschwerdeführerin könne sich daher nicht auf Art. 36 BGFA berufen.</w:t>
      </w:r>
    </w:p>
    <w:p>
      <w:r>
        <w:t>Es ist vorweg zu prüfen, ob die Beschwerdeführerin die Voraussetzung der anwaltlichen Unabhängigkeit gemäss Art. 8 Abs. 1 lit. d BGFA unmittelbar erfüllt, entfiele doch die Notwendigkeit einer Auseinandersetzung mit der Übergangsbestimmung von Art. 36 BGFA , wenn der Eintrag nach geltendem Recht zu bewilligen wäre.</w:t>
      </w:r>
    </w:p>
    <w:p>
      <w:r>
        <w:rPr>
          <w:b/>
        </w:rPr>
        <w:t>E. 2</w:t>
      </w:r>
    </w:p>
    <w:p>
      <w:r>
        <w:t>In seinem Grundsatzurteil BGE 2A.110/2004 vom 29. Januar 2004 zur Problematik der Unabhängigkeit angestellter Anwälte hat das Bundesgericht Folgendes erkannt:</w:t>
      </w:r>
    </w:p>
    <w:p>
      <w:r>
        <w:t>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 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(BGE 2A.110/2003 vom 29. Januar 2004 E. 5.11, 5.2 und 6). Ausser Betracht fällt bei dieser Konzeption der Unabhängigkeit insbesondere eine Vertretung von Angestellten des Arbeitgebers, liegt es doch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 Dies gilt schon an sich und erst recht ausgeprägt im Falle des Anwalts, der keine eigene Geschäftsadresse hat und dessen Anwaltstätigkeit durch Lohnzahlungen des Arbeitgebers abgegolten wird.</w:t>
      </w:r>
    </w:p>
    <w:p>
      <w:r>
        <w:t>Die Beschwerdeführerin will den Registereintrag für eine Anwaltstätigkeit erwirken, die darin besteht, unter der Geschäftsdresse ihrer Arbeitgeberin und gegen Entlöhnung durch dieselbe Mandate für Medienschaffende und andere Mitarbeiter, die bei ihrer Arbeitgeberin oder bei dieser nahe stehenden Gesellschaften angestellt sind, sowie offenbar teilweise auch Mandate für ihre Arbeitgeberin oder für dieser nahe stehende Gesellschaften zu führen. Dafür fehlt ihr nach dem Gesagten die Unabhängigkeit gegenüber der Arbeitgeberin, und sie kann gemäss Art. 8 Abs. 1 lit. d BGFA nicht ins kantonale Anwaltsregister eingetragen werden. Der Registereintrag wäre daher höchstens gestützt auf Art. 36 BGFA möglich.</w:t>
      </w:r>
    </w:p>
    <w:p>
      <w:r>
        <w:rPr>
          <w:b/>
        </w:rPr>
        <w:t>E. 3.1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3.2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Grundsatzurteil BGE 2A.110/2004 vom 29. Januar 2004 erkannt hat:</w:t>
      </w:r>
    </w:p>
    <w:p>
      <w:r>
        <w:t>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 Valloni/ 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(BGE 2A.110/ 2003 vom 29. Januar 2004 E. 8.2).</w:t>
      </w:r>
    </w:p>
    <w:p>
      <w:r>
        <w:t>Damit geht auch die Auffassung der Vorinstanz fehl, die zwar den Registereintrag verweigert hat, jedoch davon ausgeht, dass dieser hätte bewilligt werden müssen, wenn der Zusatz zum Arbeitsvertrag der Beschwerdeführerin vor Inkrafttreten des Anwaltsgesetzes vorgelegen hätte und dieser eine Zulassung nach der früheren "liberalen" Zürcher Praxis erlaubt hätte.</w:t>
      </w:r>
    </w:p>
    <w:p>
      <w:r>
        <w:rPr>
          <w:b/>
        </w:rPr>
        <w:t>E. 3.3</w:t>
      </w:r>
    </w:p>
    <w:p>
      <w:r>
        <w:t>Was die Beschwerdeführerin zur Tragweite von Art. 36 BGFA vorbringt, gibt keinen Anlass, auf diese Auslegung zurückzukommen.</w:t>
      </w:r>
    </w:p>
    <w:p>
      <w:r>
        <w:t>Sie beruft sich auf den Grundsatz des Vertrauensschutzes und bemerkt dazu, dass ihre Berufsausübung bisher geduldet worden sei und ihr gegenüber keine Vorwürfe hätten erhoben werden können. Diese Ausführungen stossen ins Leere. Der Gesetzgeber hat die Notwendigkeit einer Übergangsregelung erkannt und eine solche geschaffen. Er hat sich darauf beschränkt, Zugeständnisse hinsichtlich der Anerkennung von Fähigkeitsausweisen zu machen. Die Problematik des Vertrauensschutzes ist damit abschliessend geregelt; die Beschwerdeführerin erfüllt die entsprechenden gesetzlichen Kriterien nicht.</w:t>
      </w:r>
    </w:p>
    <w:p>
      <w:r>
        <w:t>Bei dieser rechtlichen Ausgangslage ist unerheblich, wann der Zusatz zum Arbeitsvertrag redigiert wurde. Es kommt auch nicht darauf an, ob die Beschwerdeführerin nach den vom Bundesgericht vor Inkrafttreten des Anwaltsgesetzes entwickelten Grundsätzen als unabhängig hätte gelten können, wovon übrigens - entgegen ihrer Ansicht - nicht ohne weiteres ausgegangen werden kann (selbst nicht im Lichte des Urteils P.370/1978 vom 17. Oktober 1980; s. zudem Zusammenfassung der Praxis in BGE 2A.110/2003 vom 29. Januar 2004 E. 4; BGE 123 I 193 E. 4b S. 197 f.). Bloss ergänzend ist sodann festzuhalten, dass die Beschwerdeführerin auch gestützt auf das Bundesgesetz vom 6. Oktober 1995 über den Binnenmarkt (Binnenmarktgesetz, BGBM; SR 943.02) die dort vorgesehene Freizügigkeit keineswegs vorbehaltlos hätte beanspruchen können, soweit ein Kanton den ortsansässigen Anwälten strengere Auflagen bezüglich der Unabhängigkeit machte (vgl. Art. 3 BGBM ; dazu BGE 125 II 56 E. 4 S. 61 f. ; 123 I 313 E. 4 S. 320). Was schliesslich den Gesichtspunkt der Rechtsgleichheit betrifft, ist zu beachten, dass die Aufsichtskommission im von der Beschwerdeführerin erwähnten Fall eines ihrer Kollegen diesem den Registereintrag verweigert hatte und erst die Verwaltungskommission des Obergerichts gegenteilig entschied, wobei dieser Beschluss vom Zürcher Anwaltsverband mit Verwaltungsgerichtsbeschwerde angefochten worden ist; über jene Verwaltungsgerichtsbeschwerde entscheidet das Bundesgericht unter Berücksichtigung insbesondere der Erwägungen des vorliegenden Urteils.</w:t>
      </w:r>
    </w:p>
    <w:p>
      <w:r>
        <w:t>Nicht ersichtlich ist schliesslich, inwiefern der Sachverhalt im Hinblick auf die zu entscheidende Rechtsfrage im Sinne von Art. 105 Abs. 2 OG qualifiziert falsch oder unvollständig abgeklärt worden sein könnte.</w:t>
      </w:r>
    </w:p>
    <w:p>
      <w:r>
        <w:t>Die Beschwerdeführerin kann auch aus Art. 36 BGFA kein Recht auf Registereintrag ableiten.</w:t>
      </w:r>
    </w:p>
    <w:p>
      <w:r>
        <w:rPr>
          <w:b/>
        </w:rPr>
        <w:t>E. 4</w:t>
      </w:r>
    </w:p>
    <w:p>
      <w:r>
        <w:t>Durch die Verweigerung des Registereintrags für die von der Beschwerdeführerin praktizierte Berufsausübung wird Bundesrecht nicht verletzt; die Verwaltungsgerichtsbeschwerde ist unbegründet und abzuweisen. Entsprechend dem Verfahrensausgang sind die bundesgerichtlichen Kosten der Beschwerdeführerin aufzuerlegen (Art. 156 in Verbindung mit Art. 153 und 153a OG ). Zudem hat sie dem Beschwerdegegner die diesem durch das bundesgerichtliche Verfahren verursachten notwendigen Kosten (Einreichen einer Vernehmlassung durch einen Vertreter)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