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2A.264/2002 vom 23. Juli 2002</w:t>
      </w:r>
    </w:p>
    <w:p>
      <w:r>
        <w:t>Bundesgericht, 2002-07-23, DE</w:t>
      </w:r>
    </w:p>
    <w:p>
      <w:r>
        <w:rPr>
          <w:b/>
        </w:rPr>
        <w:t xml:space="preserve">Quelle: </w:t>
      </w:r>
      <w:r>
        <w:t>https://mcp.opencaselaw.ch/entscheid/bger_2A.264_2002</w:t>
      </w:r>
    </w:p>
    <w:p>
      <w:r>
        <w:t>FR: TF 2A.264/2002 du 23 juillet 2002</w:t>
      </w:r>
    </w:p>
    <w:p>
      <w:r>
        <w:t>IT: TF 2A.264/2002 del 23 luglio 2002</w:t>
      </w:r>
    </w:p>
    <w:p>
      <w:pPr>
        <w:pStyle w:val="Heading2"/>
      </w:pPr>
      <w:r>
        <w:t>Regeste</w:t>
      </w:r>
    </w:p>
    <w:p>
      <w:r>
        <w:t>Öffentliches Dienstverhältnis</w:t>
      </w:r>
    </w:p>
    <w:p>
      <w:pPr>
        <w:pStyle w:val="Heading2"/>
      </w:pPr>
      <w:r>
        <w:t>Erwägungen</w:t>
      </w:r>
    </w:p>
    <w:p>
      <w:r>
        <w:rPr>
          <w:b/>
        </w:rPr>
        <w:t>E. 1.1</w:t>
      </w:r>
    </w:p>
    <w:p>
      <w:r>
        <w:t>Grundlage des Verfahrens bildet die Verfügung des Bundesamtes für Wasser und Energie vom 5. September 2000 über Natur und Modalitäten der Weiterbeschäftigung des Beschwerdeführers ab 1. Januar 2001. Es handelt sich dabei um eine Verfügung betreffend eine Streitigkeit über Ansprüche aus dem Arbeitsverhältnis vor dem Inkrafttreten des Bundespersonalgesetzes vom 24. März 2000 (BPG; SR 172.220.1); dieses ist für die allgemeine Bundesverwaltung auf den 1. Januar 2002 in Kraft gesetzt worden (Art. 1 Abs. 1 der Verordnung vom 3. Juli 2001 über die Inkraftsetzung des Bundespersonalgesetzes für die Bundesverwaltung, das Bundesgericht und die Parlamentsdienste sowie über die Weitergeltung und Aufhebung von Bundesrecht [SR 172.220.111.2; AS 2001 2197]), und für die vorliegende Streitigkeit richtet sich das Beschwerdeverfahren nach altem Recht ( Art. 41 Abs. 3 BPG ), insbesondere nach dem Beamtengesetz vom 30. Juni 1927 (BtG; SR 172.221.10). Gemäss Art. 58 Abs. 2 lit. d BtG ist das Bundesgericht Beschwerdeinstanz für die Überprüfung von Beschwerdeentscheiden der Eidgenössischen Personalrekurskommission in dienstrechtlichen Angelegenheiten im Sinne von Art. 58 Abs. 2 lit. b Ziff. 3 BtG. Da vorliegend kein gesetzlicher Ausschlussgrund gegeben ist, ist die Verwaltungsgerichtsbeschwerde gegen den auf Bundesrecht gestützten Entscheid der Personalrekurskommission zulässig.</w:t>
      </w:r>
    </w:p>
    <w:p>
      <w:r>
        <w:rPr>
          <w:b/>
        </w:rPr>
        <w:t>E. 1.2</w:t>
      </w:r>
    </w:p>
    <w:p>
      <w:r>
        <w:t>Der Beschwerdeführer wurde nach Ablauf der Amtsdauer 1997 bis 2000 als Beamter nicht wiedergewählt; er wurde ab 1. Januar 2001 als Angestellter weiterbeschäftigt und aufgrund eines neuen Pflichtenheftes in eine tiefere Lohnklasse eingestuft. Massgeblich für die Beurteilung dieser auf den 1. Januar 2001 vorgenommenen und abgeschlossenen Umgestaltung ist das zu jenem Zeitpunkt geltende materielle Recht. Da das Bundespersonalgesetz erst auf den 1. Januar 2002 in Kraft gesetzt worden ist, beurteilt sich der vorliegende Rechtsstreit auch materiell noch nach dem alten Recht, das heisst nach dem Beamtengesetz vom 30. Juni 1927 und den dazu gehörenden Erlassen.</w:t>
      </w:r>
    </w:p>
    <w:p>
      <w:r>
        <w:rPr>
          <w:b/>
        </w:rPr>
        <w:t>E. 1.3</w:t>
      </w:r>
    </w:p>
    <w:p>
      <w:r>
        <w:t>Der Beschwerdeführer anerkennt den angefochtenen Entscheid insofern, als dieser seine Rückstufung in das Anstellungsverhältnis in der 20. Besoldungsklasse bestätigt. Er beantragt nur eine teilweise Aufhebung dieses Entscheids, nämlich bezüglich der Besoldungsgarantie von zwei Jahren und der Übernahme der Arbeitgeberbeiträge auf dem versicherten Verdienst durch den Bund. Bloss diese beiden Fragen sind somit Gegenstand des bundesgerichtlichen Verfahrens.</w:t>
      </w:r>
    </w:p>
    <w:p>
      <w:r>
        <w:rPr>
          <w:b/>
        </w:rPr>
        <w:t>E. 2.1</w:t>
      </w:r>
    </w:p>
    <w:p>
      <w:r>
        <w:t>Ausgangspunkt für die Prüfung der vom Beschwerdeführer geltend gemachten Ansprüche gegen den Bund ist die für ihn ab 1. Januar 2001 geltende Besoldungseinreihung.</w:t>
      </w:r>
    </w:p>
    <w:p>
      <w:r>
        <w:rPr>
          <w:b/>
        </w:rPr>
        <w:t>E. 2.1.1</w:t>
      </w:r>
    </w:p>
    <w:p>
      <w:r>
        <w:t>Als Angestellter des Bundes hat der Beschwerdeführer das Recht auf Besoldung. Gemäss Art. 45 Abs. 1 (Fassung vom 16. Dezember 1968) der Angestelltenordnung vom 10. November 1959 (AngO; SR 172.221.104) werden die Gehälter der Angestellten, gleich wie diejenigen der Beamten ( Art. 36 BtG ), in Gehaltsklassen festgesetzt. Die Einreihung in die Gehaltsklassen erfolgt nach den für die Beamten massgebenden Grundsätzen ( Art. 45 Abs. 3 Satz 1 AngO ). Da der Beschwerdeführer ab 1. Januar 2001 als Angestellter in der 20. Besoldungsklasse weiterbeschäftigt wird, hat er gegenüber dem Bund einen Gehaltsanspruch, der dieser Einreihung entspricht. Einen Anspruch auf zusätzliche Besoldung, worauf die beantragte Gewährleistung der Auszahlung der Differenz zwischen früherem höherem und neuem Lohn während zwei Jahren hinausläuft, kann er nur dann geltend machen, wenn er sich hiefür auf eine entsprechende besondere Rechtsnorm berufen kann.</w:t>
      </w:r>
    </w:p>
    <w:p>
      <w:r>
        <w:rPr>
          <w:b/>
        </w:rPr>
        <w:t>E. 2.1.2</w:t>
      </w:r>
    </w:p>
    <w:p>
      <w:r>
        <w:t>Gleich wie der Beamte ist der Angestellte bei der Eidgenössischen Versicherungskasse gegen die wirtschaftlichen Folgen von Alter, Invalidität, und Tod zu versichern ( Art. 72 Abs. 1 AngO ). Für alle sozialversicherungsrechtlichen Belange kommen die Bestimmungen der Verordnung vom 24. August 1994 über die Pensionskasse des Bundes (PKB-Statuten; SR 172.222.1) zur Anwendung. Gemäss Art. 23 Abs. 1 lit. a PKB-Statuten wird für die Ermittlung des versicherten Verdienstes insbesondere die Besoldung nach Art. 36 BtG (bzw. Art. 45 AngO ) berücksichtigt. Der vom Mitglied und vom Arbeitgeber je zur Hälfte getragene Beitrag richtet sich nach der Höhe des versicherten Verdienstes ( Art. 29 PKB-Statuten ). Wird der Lohn wegen Veränderung des Beschäftigungsgrades oder veränderter dienstlicher Beanspruchung herabgesetzt, so wird der versicherte Verdienst nach Art. 23 der Statuten neu berechnet, bei tieferer Besoldung also reduziert ( Art. 25 Abs. 1 PKB-Statuten ). Will das Mitglied den bisherigen versicherten Verdienst beibehalten, hat es für die Differenz zwischen dem bisherigen und dem neuen versicherten Verdienst sowohl seine Beiträge als auch die des Arbeitgebers zu übernehmen ( Art. 25 Abs. 2 PKB-Statuten ). In Abweichung von dieser Regelung eine Pflicht des Arbeitgebers anzuerkennen, nach Herabsetzung der Besoldung weiterhin nach Massgabe des früheren versicherten Verdienstes Arbeitgeberbeiträge zu entrichten, setzt das Bestehen einer entsprechenden gesetzlichen Norm voraus.</w:t>
      </w:r>
    </w:p>
    <w:p>
      <w:r>
        <w:rPr>
          <w:b/>
        </w:rPr>
        <w:t>E. 2.2</w:t>
      </w:r>
    </w:p>
    <w:p>
      <w:r>
        <w:t>Es ist hinsichtlich beider vom Beschwerdeführer gegen den Bund erhobenen Forderungen (betreffend Lohn und betreffend Kassenbeiträge) zu untersuchen, ob sich eine gesetzliche Grundlage dafür finden lässt. Als Anspruchsgrundlage genügt der Grundsatz von Treu und Glauben allein nicht; steht dieser der Einreihung in eine niedrigere Gehaltsklasse nicht entgegen, so kann aus diesem Grundsatz nicht abgeleitet werden, der Arbeitgeber habe Leistungen zu erbringen, die über das hinausgehen, was gemäss der neuen, nicht beanstandeten Einreihung vorgesehen ist.</w:t>
      </w:r>
    </w:p>
    <w:p>
      <w:r>
        <w:rPr>
          <w:b/>
        </w:rPr>
        <w:t>E. 2.2.1</w:t>
      </w:r>
    </w:p>
    <w:p>
      <w:r>
        <w:t>Zur Begründung seines Begehrens, der Bund habe die Arbeitgeberbeiträge für die Differenz zwischen dem bisherigen und dem neuen versicherten Verdienst zu übernehmen, beruft sich der Beschwerdeführer auf Art. 10 Abs. 4 UmstrV. Danach kann die Bundesverwaltung die Beitragsdifferenz zwischen altem und neuem versicherten Verdienst nach Art. 25 Abs. 3 PKB-Statuten übernehmen, wenn ein Angestellter mit einer tiefer eingereihten Aufgabe betraut wird. Voraussetzung für die Anwendung dieser Norm ist aber wiederum, dass eine Umstrukturierung im Sinne dieser Verordnung vorliegt, was nicht zutrifft. Diesbezüglich kann auf die vorstehende E. 2.2.1 verwiesen werden. Ein Anspruch auf Übernahme der Beitragsdifferenz durch den Bund lässt sich sodann aus keiner anderen Norm ableiten. Art. 25 Abs. 3 PKB-Statuten sieht eine Beteiligung des Bundes an den durch die Beihaltung des höheren versicherten Verdienstes verursachten Kosten nur für den Fall vor, dass der Arbeitgeber "die Veränderung veranlasst" hat. Davon kann dann, wenn die tiefere Einreihung wegen fehlenden Leistungsvermögens des Angestellen vorgenommen wurde, nicht die Rede sein. Der Entscheid der Rekurskommission hält somit auch hinsichtlich der Frage der Beiträge an die Versicherungskasse des Bundes vor Bundesrecht stand.</w:t>
      </w:r>
    </w:p>
    <w:p>
      <w:r>
        <w:rPr>
          <w:b/>
        </w:rPr>
        <w:t>E. 3</w:t>
      </w:r>
    </w:p>
    <w:p>
      <w:r>
        <w:t>Die Verwaltungsgerichtsbeschwerde erweist sich als vollumfänglich unbegründet, und sie ist abzuweisen. Entsprechend dem Verfahrensausgang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