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2A.256/2002 vom 30. August 2002</w:t>
      </w:r>
    </w:p>
    <w:p>
      <w:r>
        <w:t>Bundesgericht, 2002-08-30, DE</w:t>
      </w:r>
    </w:p>
    <w:p>
      <w:r>
        <w:rPr>
          <w:b/>
        </w:rPr>
        <w:t xml:space="preserve">Quelle: </w:t>
      </w:r>
      <w:r>
        <w:t>https://mcp.opencaselaw.ch/entscheid/bger_2A.256_2002</w:t>
      </w:r>
    </w:p>
    <w:p>
      <w:r>
        <w:t>FR: TF 2A.256/2002 du 30 août 2002</w:t>
      </w:r>
    </w:p>
    <w:p>
      <w:r>
        <w:t>IT: TF 2A.256/2002 del 30 agosto 2002</w:t>
      </w:r>
    </w:p>
    <w:p>
      <w:pPr>
        <w:pStyle w:val="Heading2"/>
      </w:pPr>
      <w:r>
        <w:t>Regeste</w:t>
      </w:r>
    </w:p>
    <w:p>
      <w:r>
        <w:t>Bürgerrecht und Ausländerrecht</w:t>
      </w:r>
    </w:p>
    <w:p>
      <w:pPr>
        <w:pStyle w:val="Heading2"/>
      </w:pPr>
      <w:r>
        <w:t>Erwägungen</w:t>
      </w:r>
    </w:p>
    <w:p>
      <w:r>
        <w:rPr>
          <w:b/>
        </w:rPr>
        <w:t>E. 1.1</w:t>
      </w:r>
    </w:p>
    <w:p>
      <w:r>
        <w:t>Die vorliegende Verwaltungsgerichtsbeschwerde richtet sich gegen den Entscheid einer nach Art. 98a OG zuständigen kantonalen Gerichtsinstanz, welche aufgrund einer zu Art. 100 Abs. 1 lit. b Ziff. 3 OG analogen kantonalen Zugangsregelung auf das bei ihr eingereichte Rechtsmittel nicht eingetreten ist, da sie einen Rechtsanspruch auf die streitige fremdenpolizeiliche Bewilligung verneint hat. Hiegegen kann der Rechtsuchende mit Verwaltungsgerichtsbeschwerde an das Bundesgericht gelangen, wenn er - wie hier - die Verneinung des Rechtsanspruches als bundesrechtswidrig anfechten will ( BGE 127 II 161 E. 3a S. 167).</w:t>
      </w:r>
    </w:p>
    <w:p>
      <w:r>
        <w:rPr>
          <w:b/>
        </w:rPr>
        <w:t>E. 1.2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w:t>
      </w:r>
    </w:p>
    <w:p>
      <w:r>
        <w:rPr>
          <w:b/>
        </w:rPr>
        <w:t>E. 1.3</w:t>
      </w:r>
    </w:p>
    <w:p>
      <w:r>
        <w:t>Nach Art. 14 Abs. 1 AsylG kann vom Zeitpunkt der Einreichung eines Asylgesuchs bis zur Ausreise nach seiner rechtskräftigen Ablehnung oder bis zur Anordnung einer Ersatzmassnahme bei nicht durchführbarem Vollzug kein Verfahren um Erteilung einer fremdenpolizeilichen Bewilligung eingeleitet werden, es sei denn, es bestehe ein Anspruch auf eine solche. Der in dieser Bestimmung statuierte Vorrang des Asylverfahrens erfährt somit dann eine Ausnahme, wenn - was die Fremdenpolizeibehörden (wie hier) zumindest vorfrageweise zu prüfen haben - gemäss bundesgerichtlicher Rechtsprechung zu Art. 100 Abs. 1 lit. b Ziff. 3 OG ein Anspruch auf die anbegehrte Bewilligung besteht (Urteil des Bundesgerichts 2A.280/2001 vom 21. September 2001, E. 2). Fehlt es dagegen an einem solchen, so ist es nicht zu beanstanden bzw. mit Blick auf Art. 14 Abs. 1 AsylG sogar geboten, wenn die materielle Prüfung des Gesuchs um Aufenthaltsbewilligung von der vorgängigen Wiederausreise des Gesuchstellers abhängig gemacht wird (vgl. Urteil des Bundesgerichts 2A.20/2002 vom 13. Mai 2002, E. 2.2 und 2.3). Dies muss auch dann gelten, wenn die Voraussetzungen des Familiennachzugs im Sinne von Art. 38 und 39 der Verordnung vom 6. Oktober 1986 über die Begrenzung der Zahl der Ausländer (BVO; SR 823.21) vor der Wiederausreise erfüllt wären, stellen doch diese Bestimmungen die Bewilligungserteilung ins Ermessen der zuständigen Behörden, ohne zusätzliche Rechtsansprüche zu schaffen (vgl. BGE 119 Ib 91 E. 2b S. 96).</w:t>
      </w:r>
    </w:p>
    <w:p>
      <w:r>
        <w:rPr>
          <w:b/>
        </w:rPr>
        <w:t>E. 2</w:t>
      </w:r>
    </w:p>
    <w:p>
      <w:r>
        <w:t>Die Beschwerdeführer machen geltend, es liege ein Rechtsanspruch auf die anbegehrte Aufenthaltsbewilligung vor. Da die Zulässigkeit der Verwaltungsgerichtsbeschwerde vom grundsätzlichen Vorhandensein eines solchen abhängt (E. 1.2), ist diese Frage im Rahmen der Eintretenserwägungen zu prüfen (vgl. BGE 127 II 161 E. 1b S. 165).</w:t>
      </w:r>
    </w:p>
    <w:p>
      <w:r>
        <w:rPr>
          <w:b/>
        </w:rPr>
        <w:t>E. 2.1</w:t>
      </w:r>
    </w:p>
    <w:p>
      <w:r>
        <w:t>Dass aufgrund von Vorschriften des innerstaatlichen Gesetzesrechts (namentlich Art. 17 Abs. 2 ANAG ) oder eines bilateralen Staatsvertrages ein Anspruch auf Erteilung der für den Beschwerdeführer 1 anbegehrten Aufenthaltsbewilligung bestehe, wird mit Grund nicht behauptet. Hingegen wird vorgebracht, ein Rechtsanspruch ergebe sich aus Art. 8 der Europäischen Menschenrechtskonvention (EMRK; SR 0.101) und Art. 13 BV .</w:t>
      </w:r>
    </w:p>
    <w:p>
      <w:r>
        <w:rPr>
          <w:b/>
        </w:rPr>
        <w:t>E. 2.2</w:t>
      </w:r>
    </w:p>
    <w:p>
      <w:r>
        <w:t>Art. 8 Ziff. 1 EMRK sowie Art. 13 Abs. 1 BV garantieren den Schutz des Familienlebens. Es kann dieses Grundrecht verletzen, wenn einem Ausländer, dessen Familienangehörigen hier weilen, die Anwesenheit in der Schweiz untersagt wird. Vorausgesetzt wird nach ständiger bundesgerichtlicher Rechtsprechung, dass der hier weilende Familienangehörige selber ein gefestigtes Anwesenheitsrecht hat. Dies ist nicht nur dann der Fall, wenn er über das Schweizer Bürgerrecht oder eine Niederlassungsbewilligung verfügt, sondern auch dann, wenn er eine Aufenthaltsbewilligung hat, die ihrerseits auf einem Rechtsanspruch beruht ( BGE 126 II 335 E. 2a S. 339 f.; 125 II 633 E. 2e S. 639, je mit Hinweisen; eingehend: BGE 126 II 377 E. 2b S. 382 ff.).</w:t>
      </w:r>
    </w:p>
    <w:p>
      <w:r>
        <w:rPr>
          <w:b/>
        </w:rPr>
        <w:t>E. 2.3</w:t>
      </w:r>
    </w:p>
    <w:p>
      <w:r>
        <w:t>Die Ehefrau und die Tochter des Beschwerdeführers 1 besitzen - was in der Beschwerde nicht bestritten wird - lediglich eine Jahresaufenthaltsbewilligung, auf deren Erteilung oder Verlängerung sie keinen Rechtsanspruch haben. Dass die Beschwerdeführerin 2 aufgrund ihrer langjährigen Anwesenheit in der Schweiz bereits über die Niederlassungsbewilligung verfügen könnte, ist unerheblich, zumal auch die Erteilung einer solchen Bewilligung - gleich wie die Verlängerung der Aufenthaltsbewilligung - im Ermessen der kantonalen Fremdenpolizeibehörden steht. Verfügt somit keines der hier weilenden Familienmitglieder des Beschwerdeführers 1 über ein gefestigtes Anwesenheitsrecht, so lässt sich aus Art. 8 Ziff. 1 EMRK bzw. Art. 13 Abs. 1 BV auch kein Anspruch auf Verlängerung der Aufenthaltsbewilligung für ihn selbst ableiten.</w:t>
      </w:r>
    </w:p>
    <w:p>
      <w:r>
        <w:rPr>
          <w:b/>
        </w:rPr>
        <w:t>E. 2.4</w:t>
      </w:r>
    </w:p>
    <w:p>
      <w:r>
        <w:t>Die Beschwerdeführer weisen auf Stimmen in der Literatur hin, welche die Beschränkung der Anrufbarkeit von Art. 8 EMRK auf Fälle gefestigter Anwesenheit in der Schweiz in Frage stellen. Die Kritik in der Lehre geht namentlich dahin, für die Begründung eines Anspruches müsse es genügen, dass das Familienleben berührt sei, und die Art der Bewilligung sei gegebenenfalls erst bei der Interessenabwägung nach Art. 8 Abs. 2 EMRK zu berücksichtigen, was dem Prüfungsschema des Europäischen Gerichtshofes für Menschenrechte entspreche. Das Bundesgericht hat in BGE 126 II 377 E. 2b/cc S. 383 f. erneut bekräftigt, am Erfordernis des gefestigten Anwesenheitsrechts - welches auf der Überlegung basiert, dass ein Ausländer, der selber keinen Anspruch auf längere Anwesenheit hat, einen solchen auch nicht einer Drittperson zu verschaffen vermag ( BGE 126 II 335 E. 2a S. 340, mit Hinweisen) - festzuhalten, und hat dies bis in jüngster Zeit getan (vgl. etwa die Urteile 2A.318/2002 vom 15. Juli 2002, E. 2.1.2, sowie 2A.533/2001 vom 25. April 2002, E. 2.2). Es besteht kein Anlass, diese Rechtsprechung aufzugeben.</w:t>
      </w:r>
    </w:p>
    <w:p>
      <w:r>
        <w:rPr>
          <w:b/>
        </w:rPr>
        <w:t>E. 3</w:t>
      </w:r>
    </w:p>
    <w:p>
      <w:r>
        <w:t>Besteht nach dem Gesagten kein Rechtsanspruch auf Erteilung der für den Beschwerdeführer 1 anbegehrten Aufenthaltsbewilligung, so bleibt die Verwaltungsgerichtsbeschwerde ausgeschlossen. Die Eingabe kann aber auch nicht als staatsrechtliche Beschwerde entgegengenommen werden, da die Beschwerdeführer zu diesem (gemäss Art. 84 Abs. 2 OG subsidiären) Rechtsmittel in der Sache selbst (materielle Bewilligungsfrage) mangels eines Eingriffs in rechtlich geschützte Positionen nicht legitimiert wären ( Art. 88 OG ; BGE 126 I 81 E. 3-7 S. 85 ff., mit Hinweisen). Eigentliche Verfahrensrügen, welche unabhängig von der Legitimation in der Sache selbst zulässig sind ("Star-Praxis", BGE 114 Ia 307 E. 3c S. 312 f.; vgl. auch BGE 127 II 161 E. 3b S. 167 ; 126 I 81 E. 3b S. 86 sowie E. 7b S. 94), erheben die Beschwerdeführer nicht.</w:t>
      </w:r>
    </w:p>
    <w:p>
      <w:r>
        <w:rPr>
          <w:b/>
        </w:rPr>
        <w:t>E. 4</w:t>
      </w:r>
    </w:p>
    <w:p>
      <w:r>
        <w:t>Damit ist auf die Verwaltungsgerichtsbeschwerde nicht einzutreten. 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