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2A.255/2003 vom 30. März 2004</w:t>
      </w:r>
    </w:p>
    <w:p>
      <w:r>
        <w:t>Bundesgericht, 2004-03-30, DE</w:t>
      </w:r>
    </w:p>
    <w:p>
      <w:r>
        <w:rPr>
          <w:b/>
        </w:rPr>
        <w:t xml:space="preserve">Quelle: </w:t>
      </w:r>
      <w:r>
        <w:t>https://mcp.opencaselaw.ch/entscheid/bger_2A.255_2003</w:t>
      </w:r>
    </w:p>
    <w:p>
      <w:r>
        <w:t>FR: TF 2A.255/2003 du 30 mars 2004</w:t>
      </w:r>
    </w:p>
    <w:p>
      <w:r>
        <w:t>IT: TF 2A.255/2003 del 30 marzo 2004</w:t>
      </w:r>
    </w:p>
    <w:p>
      <w:pPr>
        <w:pStyle w:val="Heading2"/>
      </w:pPr>
      <w:r>
        <w:t>Regeste</w:t>
      </w:r>
    </w:p>
    <w:p>
      <w:r>
        <w:t>Grundrecht</w:t>
      </w:r>
    </w:p>
    <w:p>
      <w:pPr>
        <w:pStyle w:val="Heading2"/>
      </w:pPr>
      <w:r>
        <w:t>Erwägungen</w:t>
      </w:r>
    </w:p>
    <w:p>
      <w:r>
        <w:rPr>
          <w:b/>
        </w:rPr>
        <w:t>E. 1.1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 Gemäss Art. 36 BGFA sodann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Fällen, da ein Eintrag gestützt auf das neu geltende Bundesrecht nicht (mehr) in Frage kommt, jedoch nach bisherigem Recht interkantonal eine Berufsausübungsbewilligung hätte erlangt werden können.</w:t>
      </w:r>
    </w:p>
    <w:p>
      <w:r>
        <w:rPr>
          <w:b/>
        </w:rPr>
        <w:t>E. 1.2</w:t>
      </w:r>
    </w:p>
    <w:p>
      <w:r>
        <w:t>Der Beschwerdeführerin wird der Eintrag ins kantonale Register mit der Begründung verweigert, dass sie mangels Nachweises der erforderlichen Unabhängigkeit von ihrer Arbeitgeberfirma die Voraussetzungen für eine Berufsausübungsbewilligung schon nach der bisherigen kantonalen Praxis nicht erfüllt habe; sie könne sich daher nicht auf Art. 36 BGFA berufen. Es ist vorweg zu prüfen, ob die Beschwerdeführerin die Voraussetzung der anwaltlichen Unabhängigkeit unmittelbar erfüllt, entfiele doch die Notwendigkeit einer Auseinandersetzung mit der Tragweite der Übergangsbestimmung von Art. 36 BGFA , wenn der Eintrag nach geltendem Recht zu bewilligen wäre.</w:t>
      </w:r>
    </w:p>
    <w:p>
      <w:r>
        <w:rPr>
          <w:b/>
        </w:rPr>
        <w:t>E. 2</w:t>
      </w:r>
    </w:p>
    <w:p>
      <w:r>
        <w:t>In seinem Grundsatzurteil BGE 2A.110/2004 vom 29. Januar 2004 zur Problematik der Unabhängigkeit angestellter Anwälte hat das Bundesgericht Folgendes erkannt: 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und sich auf Mandate beschränkt, die klar ausserhalb des Tätigkeitsbereichs des Arbeitgebers liegen.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(BGE 2A.110/2003 vom 29. Januar 2004 E. 5.11, 5.2 und 6). Ausser Betracht fällt bei dieser Konzeption der Unabhängigkeit ferner eine Vertretung von Angestellten des Arbeitgebers. Die Beschwerdeführerin will den Registereintrag für eine Anwaltstätigkeit erwirken, die im Wesentlichen darin besteht, Mandate für ihrer Arbeitgeberin nahestehende Gesellschaften zu führen. Dafür fehlt ihr die Unabhängigkeit gegenüber ihrer Arbeitgeberin, und sie kann gemäss Art. 8 Abs. 1 lit. d BGFA nicht ins kantonale Anwaltsregister eingetragen werden. Der Registereintrag wäre daher höchstens gestützt auf Art. 36 BGFA möglich.</w:t>
      </w:r>
    </w:p>
    <w:p>
      <w:r>
        <w:rPr>
          <w:b/>
        </w:rPr>
        <w:t>E. 3.1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3.2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Grundsatzurteil BGE 2A.110/2004 vom 29. Januar 2004 erkannt hat: 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 Valloni/Marcel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tendenziell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(BGE 2A.110/2003 vom 29. Januar 2004 E. 8.2).</w:t>
      </w:r>
    </w:p>
    <w:p>
      <w:r>
        <w:rPr>
          <w:b/>
        </w:rPr>
        <w:t>E. 3.3</w:t>
      </w:r>
    </w:p>
    <w:p>
      <w:r>
        <w:t>Was die Beschwerdeführerin zur Tragweite von Art. 36 BGFA vorbringt, gibt keinen Anlass, auf diese Auslegung zurückzukommen. Sie kann, ohne dass es auf den Zeitpunkt der Entstehung des Zusatzes zum Arbeitsvertrag ankäme, auch aus Art. 36 BGFA kein Recht auf Registereintrag ableiten.</w:t>
      </w:r>
    </w:p>
    <w:p>
      <w:r>
        <w:rPr>
          <w:b/>
        </w:rPr>
        <w:t>E. 4</w:t>
      </w:r>
    </w:p>
    <w:p>
      <w:r>
        <w:t>Durch die Verweigerung des Registereintrags für eine Berufsausübung, wie sie die Beschwerdeführerin praktiziert, wird Bundesrecht nicht verletzt; die Verwaltungsgerichtsbeschwerde ist unbegründet und abzuweisen. 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