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2A.24/2007 vom 6. Februar 2007</w:t>
      </w:r>
    </w:p>
    <w:p>
      <w:r>
        <w:t>Bundesgericht, 2007-02-06, DE</w:t>
      </w:r>
    </w:p>
    <w:p>
      <w:r>
        <w:rPr>
          <w:b/>
        </w:rPr>
        <w:t xml:space="preserve">Quelle: </w:t>
      </w:r>
      <w:r>
        <w:t>https://mcp.opencaselaw.ch/entscheid/bger_2A.24_2007</w:t>
      </w:r>
    </w:p>
    <w:p>
      <w:r>
        <w:t>FR: TF 2A.24/2007 du 6 février 2007</w:t>
      </w:r>
    </w:p>
    <w:p>
      <w:r>
        <w:t>IT: TF 2A.24/2007 del 6 febbraio 2007</w:t>
      </w:r>
    </w:p>
    <w:p>
      <w:pPr>
        <w:pStyle w:val="Heading2"/>
      </w:pPr>
      <w:r>
        <w:t>Erwägungen</w:t>
      </w:r>
    </w:p>
    <w:p>
      <w:r>
        <w:rPr>
          <w:b/>
        </w:rPr>
        <w:t>E. 1.1</w:t>
      </w:r>
    </w:p>
    <w:p>
      <w:r>
        <w:t>Zwar ist am 1. Januar 2007 das neue Bundesgesetz vom 17. Juni 2005 über das Bundesgericht (Bundesgerichtsgesetz, BGG: RS 173.110) in Kraft getreten. Gemäss Art. 132 Abs. 1 BGG ist hier allerdings noch das Bundesgesetz vom 16. Dezember 1943 über die Organisation der Bundesrechtspflege (OG) anwendbar, da der angefochtene Entscheid vor Inkrafttreten des Bundesgerichtsgesetzes ergangen ist.</w:t>
      </w:r>
    </w:p>
    <w:p>
      <w:r>
        <w:rPr>
          <w:b/>
        </w:rPr>
        <w:t>E. 1.2</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1.3</w:t>
      </w:r>
    </w:p>
    <w:p>
      <w:r>
        <w:t>Der Beschwerdeführer lebt zwar getrennt von seiner Ehegattin, die Ehe besteht aber formell weiterhin (vgl. BGE 126 II 265 E. 1b S. 266 mit Hinweis). Gemäss Art. 7 Abs. 1 des Bundesgesetzes vom 26. März 1931 über Aufenthalt und Niederlassung der Ausländer (ANAG; SR 142.20) besitzt der Beschwerdeführer somit grundsätzlich einen Rechtsanspruch auf die Erteilung einer Aufenthaltsbewilligung, weshalb das Rechtsmittel der Verwaltungsgerichtsbeschwerde zulässig ist.</w:t>
      </w:r>
    </w:p>
    <w:p>
      <w:r>
        <w:rPr>
          <w:b/>
        </w:rPr>
        <w:t>E. 1.4</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Ausgeschlossen ist ferner die Überprüfung der Angemessenheit ( Art. 104 lit. c OG ).</w:t>
      </w:r>
    </w:p>
    <w:p>
      <w:r>
        <w:rPr>
          <w:b/>
        </w:rPr>
        <w:t>E. 2.1</w:t>
      </w:r>
    </w:p>
    <w:p>
      <w:r>
        <w:t>Gemäss Art. 7 Abs. 1 ANAG hat der ausländische Ehegatte eines Schweizer Bürgers grundsätzlich Anspruch auf Erteilung und Verlängerung der Aufenthaltsbewilligung. Kein Anspruch besteht, wenn die Ehe eingegangen worden ist, um die Vorschriften über Aufenthalt und Niederlassung von Ausländern zu umgehen ( Art. 7 Abs. 2 ANAG ),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w:t>
      </w:r>
    </w:p>
    <w:p>
      <w:r>
        <w:t>Dass die Ehe nur noch formell und ohne Aussicht auf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Wie die Vorinstanz festgestellt hat, leben die Ehegatten seit November 2003 getrennt und kommt für sie ein Zusammenleben nicht mehr in Frage. Hinweise darauf, dass die Feststellungen des Verwaltungsgerichts zum Sachverhalt offensichtlich unrichtig oder unvollständig wären, sind nicht ersichtlich und gehen namentlich auch nicht aus den Vorbringen des Beschwerdeführers hervor. Es ist unbestritten, dass die Ehegatten sich eineinhalb Jahre nach der Heirat getrennt und seither nicht mehr zusammengelebt haben. Aufgrund der Tatsache, dass die Ehe für die Ehefrau offensichtlich definitiv gescheitert ist, kann der Beschwerdeführer nicht ernsthaft damit rechnen, das eheliche Zusammenleben werde zu irgendeinem Zeitpunkt nochmals aufgenommen. In seiner Eingabe an das Bundesgericht räumt er nun selber ein, seine Ehefrau wolle die Scheidung und sei nicht bereit, nochmals mit ihm in ehelicher Gemeinschaft zu leben. Umstände oder eigene Bemühungen, die darauf schliessen liessen, dass dennoch konkret Hoffnung auf Versöhnung bestünde, macht er keine geltend. Im Übrigen ist für das vorliegende Verfahren nicht von Belang, ob der Beschwerdeführer in der Schweiz integriert ist.</w:t>
      </w:r>
    </w:p>
    <w:p>
      <w:r>
        <w:rPr>
          <w:b/>
        </w:rPr>
        <w:t>E. 3.2</w:t>
      </w:r>
    </w:p>
    <w:p>
      <w:r>
        <w:t>Das Verwaltungsgericht geht in seinem Urteil von der dargestellten Rechtsprechung zur missbräuchlichen Berufung auf die Ehe aus. Bei gesamthafter Betrachtung aller Indizien musste sich der Schluss aufdrängen, dass keine Aussichten auf Wiederaufnahme der ehelichen Gemeinschaft bestehen. Wenn sich der Beschwerdeführer unter den dargelegten Umständen dennoch auf die Ehe beruft, um die Erteilung der Aufenthaltsbewilligung zu erwirken, handelt er rechtsmissbräuchlich. Die Vorinstanz hat folglich mit dem angefochtenen Entscheid Bundesrecht nicht verletzt. Weitere Ausführungen dazu erübrigen sich; es kann ergänzend auf die Ausführungen im angefochtenen Entscheid verwiesen werden ( Art. 36a Abs. 3 OG ).</w:t>
      </w:r>
    </w:p>
    <w:p>
      <w:r>
        <w:rPr>
          <w:b/>
        </w:rPr>
        <w:t>E. 4</w:t>
      </w:r>
    </w:p>
    <w:p>
      <w:r>
        <w:t>Soweit der Beschwerdeführer aufgrund der geltend gemachten Integration in der Schweiz sinngemäss die Erteilung einer Aufenthaltsbewilligung gestützt auf Art. 4 ANAG verlangt, der eine Bewilligung ins freie Ermessen der Behörden stellt, ist die Verwaltungsgerichtsbeschwerde nicht zulässig und kann darauf nicht eingetreten werden (Art. 100 Abs. 1 lit. b Ziff. 3 OG). Im Übrigen wäre diesbezüglich auch die staatsrechtliche Beschwerde mangels Legitimation ausgeschlossen (vgl. BGE 126 I 81 E. 4-6 S. 85 ff.).</w:t>
      </w:r>
    </w:p>
    <w:p>
      <w:r>
        <w:rPr>
          <w:b/>
        </w:rPr>
        <w:t>E. 5.1</w:t>
      </w:r>
    </w:p>
    <w:p>
      <w:r>
        <w:t>Die Beschwerde ist demnach offensichtlich unbegründet und im vereinfachten Verfahren nach Art. 36a OG abzuweisen, soweit darauf eingetreten werden kann.</w:t>
      </w:r>
    </w:p>
    <w:p>
      <w:r>
        <w:rPr>
          <w:b/>
        </w:rPr>
        <w:t>E. 5.2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