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2A.248/2006 vom 2. August 2006</w:t>
      </w:r>
    </w:p>
    <w:p>
      <w:r>
        <w:t>Bundesgericht, 2006-08-02, FR</w:t>
      </w:r>
    </w:p>
    <w:p>
      <w:r>
        <w:rPr>
          <w:b/>
        </w:rPr>
        <w:t xml:space="preserve">Quelle: </w:t>
      </w:r>
      <w:r>
        <w:t>https://mcp.opencaselaw.ch/entscheid/bger_2A.248_2006</w:t>
      </w:r>
    </w:p>
    <w:p>
      <w:r>
        <w:t>FR: TF 2A.248/2006 du 2 août 2006</w:t>
      </w:r>
    </w:p>
    <w:p>
      <w:r>
        <w:t>IT: TF 2A.248/2006 del 2 agosto 2006</w:t>
      </w:r>
    </w:p>
    <w:p>
      <w:pPr>
        <w:pStyle w:val="Heading2"/>
      </w:pPr>
      <w:r>
        <w:t>Regeste</w:t>
      </w:r>
    </w:p>
    <w:p>
      <w:r>
        <w:t>Exception aux mesures de limitation | Droit de cité et droit des étrangers</w:t>
      </w:r>
    </w:p>
    <w:p>
      <w:pPr>
        <w:pStyle w:val="Heading2"/>
      </w:pPr>
      <w:r>
        <w:t>Erwägungen</w:t>
      </w:r>
    </w:p>
    <w:p>
      <w:r>
        <w:rPr>
          <w:b/>
        </w:rPr>
        <w:t>E. 1.1</w:t>
      </w:r>
    </w:p>
    <w:p>
      <w:r>
        <w:t>La voie du recours de droit administratif est, en principe, ouverte contre les décisions relatives à l'assujettissement aux mesures de limitation prévues par l'Ordonnance limitant le nombre des étrangers ( ATF 122 II 403 consid. 1 p. 404/405). Tendant uniquement à faire prononcer une exemption des mesures de limitation, et respectant par ailleurs les formes et délais légaux, le présent recours est donc recevable.</w:t>
      </w:r>
    </w:p>
    <w:p>
      <w:r>
        <w:rPr>
          <w:b/>
        </w:rPr>
        <w:t>E. 1.2</w:t>
      </w:r>
    </w:p>
    <w:p>
      <w:r>
        <w:t>Conformément à l' art. 104 lettre a OJ , le recours de droit administratif peut être formé pour violation du droit fédéral y compris l'excès ou l'abus du pouvoir d'appréciation ( ATF 128 II 56 consid. 2a p. 60). Le Tribunal fédéral revoit d'office l'application du droit fédéral qui englobe notamment les droits constitutionnels du citoyen ( ATF 130 III 707 consid. 3.1 p. 709; 130 I 312 consid. 1.2 p. 318). Comme il n'est pas lié par les motifs qu'invoquent les parties, il peut admettre le recours pour d'autres raisons que celles avancées par le recourant ou au contraire confirmer l'arrêt attaqué pour d'autres motifs que ceux retenus par l'autorité intimée (art. 114 in fine OJ; ATF 131 II 361 consid. 2 p. 366; 129 II 183 consid. 3.4 p.188).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(ATF 124 Il 361 consid. 2a p. 365; 122 II 1 consid. 1b p. 4, 385 consid. 1 p. 390 et les arrêts cités). Le Tribunal fédéral ne peut en revanche pas revoir l'opportunité de la décision entreprise, le droit fédéral ne prévoyant pas un tel examen en la matière (art. 104 lettre c ch. 3 OJ; ATF 131 II 361 consid. 2 p. 366, 131 III 182 consid. 1 p. 184).</w:t>
      </w:r>
    </w:p>
    <w:p>
      <w:r>
        <w:rPr>
          <w:b/>
        </w:rPr>
        <w:t>E. 2.1</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II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 ATF 130 II 39 consid. 3 p. 41/42; 128 II 200 consid. 4 p. 207).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 ATF 130 II 39 consid. 3 p. 42; 128 II 200 consid. 4 p. 208).</w:t>
      </w:r>
    </w:p>
    <w:p>
      <w:r>
        <w:rPr>
          <w:b/>
        </w:rPr>
        <w:t>E. 2.2</w:t>
      </w:r>
    </w:p>
    <w:p>
      <w:r>
        <w:t>La recourante a séjourné six ans en Suisse, au bénéfice d'une autorisation de séjour pour études, puis cette autorisation n'a plus été renouvelée, le but du séjour ayant été considéré comme atteint. Il est certain que la recourante ne saurait se prévaloir de ce seul séjour d'études pour soutenir que le refus de l'exempter des mesures de limitation la placerait dans une situation de détresse personnelle; elle ne le fait d'ailleurs pas. Comme le relève le Département, la présence en Suisse d'un étranger au bénéfice d'une autorisation pour études est, par définition, limitée en durée et son bénéficiaire doit savoir que, le but de son séjour atteint (ou devenu impossible à atteindre), il devra quitter notre pays. La situation de la recourante n'est toutefois pas commune et ne saurait être comparée à celle d'un étudiant qui aurait cherché sa voie au sein de l'Université et fait durer ses études le plus longtemps possible. Parallèlement à ses activités universitaires, la recourante a en effet acquis une solide formation en matière de santé publique et a effectué un important travail en matière de prévention et de promotion de la santé auprès des personnes migrantes séjournant à Genève. Déployant une intense activité dans un domaine particulièrement sensible et délicat, elle s'est vu confier des responsabilités qui lui ont permis de se distinguer sur le plan professionnel et de se constituer un précieux réseau de contacts. II est donc incontestable qu'à côté de ses études, elle a réussi en quelques années une évolution professionnelle hors du commun. A cet égard, un retour forcé dans son pays d'origine, lui ferait sans doute perdre l'essentiel de ces acquis. L'expérience qu'elle a accumulée s'inscrit en effet dans un contexte de médiation interculturelle et cette dimension serait perdue si elle devait regagner le Pérou. Il faut donc considérer que, sur ce plan déjà, une telle mesure constituerait pour elle une rigueur importante. A cela s'ajoute que les événements que la recourante a vécus lors de son bref retour au Pérou en 2002 ont constitué pour elle, aux dires de la psychothérapeute qui la suit depuis le 27 mars 2006, un véritable traumatisme dont elle subit les effets aujourd'hui encore, plus de quatre ans après ces faits. Dans son attestation du 24 avril 2006, cette praticienne précise qu'elle "souffre actuellement d'angoisses aiguës avec des troubles du sommeil important, d'un état dépressif majeur, liés à son renvoi possible au Pérou et à la certitude d'avoir de nouveau à y subir des violences de la part de sa famille, sans compter la perte d'un statut professionnel et social acquis en Suisse après des années de travail". Elle en conclut qu'un retour forcé semble comporter des risques graves pour la santé physique et psychique de sa patiente. Il faut dès lors admettre que, pour cette raison également, un renvoi de la recourante dans son pays d'origine serait source de détresse profonde et ne saurait raisonnablement lui être imposé. Envisagé sous ces deux aspects, l'octroi d'une exception aux mesures de limitation se justifie au vu de la situation particulière de la recourante et ne constitue certainement pas un précédent ouvrant la porte à la régularisation des étrangers venus en Suisse pour y étudier, ainsi que semble le craindre l'autorité intimée.</w:t>
      </w:r>
    </w:p>
    <w:p>
      <w:r>
        <w:rPr>
          <w:b/>
        </w:rPr>
        <w:t>E. 3</w:t>
      </w:r>
    </w:p>
    <w:p>
      <w:r>
        <w:t>Au vu de ce qui précède, le recours doit être admis et la décision attaquée annulée. Il y a lieu de statuer sans frais. La recourante, qui obtient gain de cause et qui a consulté un homme de loi,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