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2A.247/2006 vom 3. August 2006</w:t>
      </w:r>
    </w:p>
    <w:p>
      <w:r>
        <w:t>Bundesgericht, 2006-08-03, DE</w:t>
      </w:r>
    </w:p>
    <w:p>
      <w:r>
        <w:rPr>
          <w:b/>
        </w:rPr>
        <w:t xml:space="preserve">Quelle: </w:t>
      </w:r>
      <w:r>
        <w:t>https://mcp.opencaselaw.ch/entscheid/bger_2A.247_2006</w:t>
      </w:r>
    </w:p>
    <w:p>
      <w:r>
        <w:t>FR: TF 2A.247/2006 du 3 août 2006</w:t>
      </w:r>
    </w:p>
    <w:p>
      <w:r>
        <w:t>IT: TF 2A.247/2006 del 3 agosto 2006</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w:t>
      </w:r>
    </w:p>
    <w:p>
      <w:r>
        <w:rPr>
          <w:b/>
        </w:rPr>
        <w:t>E. 1.2</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 Hat - wie hier - eine richterliche Behörde als Vorinstanz entschieden, so ist deren Sachverhaltsfeststellung verbindlich, sofern diese nicht offensichtlich unrichtig, unvollständig oder unter Verletzung wesentlicher Verfahrensgarantien erfolgt ist ( Art. 105 Abs. 2 OG ).</w:t>
      </w:r>
    </w:p>
    <w:p>
      <w:r>
        <w:rPr>
          <w:b/>
        </w:rPr>
        <w:t>E. 2.1</w:t>
      </w:r>
    </w:p>
    <w:p>
      <w:r>
        <w:t>Die Niederlassungsbewilligung erlischt u.a. mit der Ausweisung ( Art. 9 Abs. 3 lit. b ANAG ).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eine Ausweisung im Sinne der Art. 11 Abs. 3 ANAG und Art. 16 Abs. 3 ANAV "angemessen", d.h. verhältnismässig sei, ist eine Rechtsfrage, die vom Bundesgericht im Verfahren der Verwaltungsgerichtsbeschwerde frei geprüft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 Die Prüfung der entscheidenden Frage der Verhältnismässigkeit ist gestützt auf die gesamten wesentlichen Umstände des Einzelfalles vorzunehmen ( BGE 125 II 521 E. 2b S. 523 f. mit Hinweisen).</w:t>
      </w:r>
    </w:p>
    <w:p>
      <w:r>
        <w:rPr>
          <w:b/>
        </w:rPr>
        <w:t>E. 2.2</w:t>
      </w:r>
    </w:p>
    <w:p>
      <w:r>
        <w:t>Die formellen Voraussetzungen für eine Ausweisung des Beschwerdeführers sind aufgrund der ergangenen strafrechtlichen Verurteilung gegeben. Er wurde wegen zweifachen Mordes mit einer langjährigen Zuchthausstrafe belegt. Unter diesen Umständen besteht ein entsprechend gewichtiges öffentliches Interesse an seiner Entfernung und Fernhaltung aus der Schweiz (vgl. zur strengen Praxis des Bundesgerichtes bei Drogendelikten und bei Delikten gegen die körperliche Integrität BGE 125 II 521 E. 4a S. 526 ff.).</w:t>
      </w:r>
    </w:p>
    <w:p>
      <w:r>
        <w:rPr>
          <w:b/>
        </w:rPr>
        <w:t>E. 2.3</w:t>
      </w:r>
    </w:p>
    <w:p>
      <w:r>
        <w:t>Die kantonalen Behörden haben sodann die für die Beurteilung der Verhältnismässigkeit der Ausweisung zu berücksichtigenden Kriterien zutreffend dargelegt. Sie haben zu Recht grosses Gewicht auf die begangenen Straftaten gelegt und das Verschulden in Berücksichtigung der Ausführungen im rechtskräftigen Strafurteil vom 11. August 2000 als besonders schwer qualifiziert ("Das vom Beschwerdeführer an den Tag gelegte Aggressionspotential ist beängstigend und sein Verschulden im obersten Bereich einzustufen", S. 9 des angefochtenen Entscheides). Der damals drogensüchtige Beschwerdeführer hatte am 25. Januar 1997 zusammen mit einem Mittäter zwei Menschen ermordet. Die Tat hatte zunächst bloss bezweckt, vom ersten Opfer ein wenig "Stoff" und Geld zu erlangen, hatte dann aber zur Ermordung des Betreffenden sowie zur Elimination der einzigen Tatzeugin geführt, wobei im Urteil des Obergerichts von einem "grausamen Tatvorgehen", einem "klaren Niedermetzeln" die Rede ist (Urteil des Obergerichts, a.a.O., pag. 1669 ff.). Das gezeigte deliktische Verhalten des Beschwerdeführers war, wie das Verwaltungsgericht deshalb zu Recht festhielt, "besonders gravierend und die öffentliche Sicherheit in ausserordentlicher Weise gefährdend" (S. 9 des angefochtenen Entscheides). Die gegenläufigen privaten Interessen des Beschwerdeführers am Verbleib in der Schweiz fallen nicht schwer ins Gewicht. Er ist erst als Erwachsener in die Schweiz gekommen und kann daher nicht als "Ausländer der zweiten Generation" bezeichnet werden (vgl. dazu BGE 130 II 176 E. 4.4.2 S. 190 f.). Er hat sich hier gemäss den Feststellungen des Verwaltungsgerichts weder beruflich noch sozial integriert und spricht zudem praktisch kein Deutsch (S. 14 und 15 des angefochtenen Entscheides). Fast die Hälfte seines Aufenthaltes in der Schweiz verbrachte er in Unfreiheit (Einreise 1986, in Haft seit 1997). Er ist von seiner Ehefrau geschieden und hat kein Sorgerecht über die Kinder, die in einer Pflegefamilie bzw. einem Internat untergebracht sind. Die Ausweisung des Beschwerdeführers erscheint nach den Grundsätzen des ANAG daher nicht unverhältnismässig und hält auch vor Art. 8 EMRK stand (vgl. zu einem allfälligen konventionsrechtlichen Aufenthaltsanspruch eines für seine Kinder nicht sorgeberechtigten Ausländers BGE 120 Ib 1 E. 3c S. 5, 22 E. 4a/b S. 25. f.).</w:t>
      </w:r>
    </w:p>
    <w:p>
      <w:r>
        <w:rPr>
          <w:b/>
        </w:rPr>
        <w:t>E. 2.4.1</w:t>
      </w:r>
    </w:p>
    <w:p>
      <w:r>
        <w:t>Das ANAG gilt für Staatsangehörige der Europäischen Gemeinschaft und ihre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 Bestimmung enthält oder dieses Gesetz eine vorteilhaftere Rechtsstellung vorsieht ( Art. 1 lit. a ANAG ). Als italienischer Staatsbürger kann sich der Beschwerdeführer auf die Garantien des Freizügigkeitsabkommens bzw. auf Art. 5 des Anhanges I FZA berufen.</w:t>
      </w:r>
    </w:p>
    <w:p>
      <w:r>
        <w:rPr>
          <w:b/>
        </w:rPr>
        <w:t>E. 2.4.2</w:t>
      </w:r>
    </w:p>
    <w:p>
      <w:r>
        <w:t>Gemäss Art. 5 Abs. 1 Anhang I FZA dürfen die vom Freizügigkeitsabkommen - unter anderem nach dem erwähnten Art. 2 Anhang I FZA - gewährten Rechtsansprüche "nur durch Massnahmen, die aus Gründen der öffentlichen Ordnung, Sicherheit und Gesundheit gerechtfertigt sind, eingeschränkt werden" ( BGE 130 II 176 E. 3.1 S. 179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w:t>
      </w:r>
    </w:p>
    <w:p>
      <w:r>
        <w:rPr>
          <w:b/>
        </w:rPr>
        <w:t>E. 2.4.3</w:t>
      </w:r>
    </w:p>
    <w:p>
      <w:r>
        <w:t>Nach den gemäss Art. 5 Anhang I FZA anwendbaren Grundsätzen wird insbesondere eine hinreichend schwere und gegenwärtige Gefährdung der öffentlichen Ordnung zur Rechtfertigung von Entfernungs- oder Fernhaltemassnahmen gefordert. Dabei darf "ausschliesslich das persönliche Verhalten der in Betracht kommenden Einzelperson ausschlaggebend" sein. Art.3 Abs.1 RL 64/221/EWG steht somit Massnahmen entgegen, die aus generalpräventiven Gründen verfügt werden ( BGE 130 II 176 E.3.4.1 S.183 mit Hinweisen). Ausserdem können gemäss Art. 3 Abs. 2 RL 64/221/EWG strafrechtliche Verurteilungen allein nicht ohne weiteres Massnahmen begründen. Eine frühere strafrechtliche Verurteilung darf daher nur insoweit berücksichtigt werden, als die ihr zugrunde liegenden Umstände ein persönliches Verhalten erkennen lassen, das eine gegenwärtige Gefährdung der öffentlichen Ordnung darstellt. Zwar wird in die Interessenabwägung nach Art. 11 Abs. 3 ANAG regelmässig auch die Rückfallgefahr und der Resozialisierungsgedanke einbezogen (vgl. BGE 130 II 176 E. 4.2 S. 185 mit zahlreichen Hinweisen). Die Prognose über das Wohlverhalten gibt in jener Abwägung aber nicht den Ausschlag ( BGE 125 II 105 E. 2c S. 110 mit Hinweisen). Dagegen ist im Rahmen von Art. 5 Anhang I FZA die Feststellung einer gegenwärtigen Gefährdung eine Grundvoraussetzung für den Erlass von Entfernungs- oder Fernhaltemassnahmen.</w:t>
      </w:r>
    </w:p>
    <w:p>
      <w:r>
        <w:rPr>
          <w:b/>
        </w:rPr>
        <w:t>E. 2.4.4</w:t>
      </w:r>
    </w:p>
    <w:p>
      <w:r>
        <w:t>Das Verwaltungsgericht durfte aufgrund der von ihm getroffenen und für das Bundesgericht nach Massgabe von Art. 105 Abs. 2 OG verbindlichen Feststellungen (E. 1.2) zulässigerweise davon ausgehen, dass vom Beschwerdeführer aufgrund der von ihm begangenen Straftat(en) nach wie vor ein gewisses Risiko ausgeht. Zwar stuft ihn das Verwaltungsgericht als "heute nicht mehr drogensüchtig" ein (angefochtener Entscheid S. 11); es weist aber gleichzeitig auf das persönlichkeitsadäquate Aggressionspotential des Beschwerdeführers hin, dessentwegen auch nach der Entlassung aus dem Strafvollzug eine Fortsetzung der Psychotherapie empfohlen werde. Der Beschwerdeführer neigt in gewissen Situationen nach wie vor zu impulsiven Reaktionen (S. 12/13 des angefochtenen Entscheides). Gewalttätiges Verhalten kann trotz der bisherigen positiven Entwicklung auch in Zukunft nicht völlig ausgeschlossen werden. Entsprechend grösser wird dieses Risiko, falls der Beschwerdeführer - was erfahrungsgemäss ebenfalls nicht ausgeschlossen werden kann - in die Drogensucht zurückfallen sollte. Dass der Beschwerdeführer offenbar immer noch illegale Drogen konsumiert, geht sogar aus dem von ihm selber eingereichten Therapiebericht des Forensisch-psychiatrischen Dienstes der Universität Bern vom 13. Februar 2006 hervor: "Umso schwerer erklärbar sind die (...) positiven Nachweise von regelwidrigem Substanzkonsum. Entsprechend problematisch müssen auch die in die Zukunft weisenden Absichtserklärungen von Herrn A.________ gesehen werden. Ob also in dem dann von ihm selbst verantwortlich mitzugestaltenden Lebensumfeld eine vollständige Drogenabstinenz erwartet werden kann, ist gerade auch unter diesen genannten Vorerfahrungen als zweifelhaft, wenn nicht gar unwahrscheinlich zu erachten." Wenn der Beschwerdeführer aufgrund des von ihm begangenen schweren Verbrechens und der von seiner Person ausgehenden nach wie vor ausgehenden, nicht unerheblichen Gefährdung der öffentlichen Ordnung gestützt auf Art. 10 ANAG ausgewiesen wird, verstösst diese Sanktion nicht gegen Art. 5 des Anhanges I FZA.</w:t>
      </w:r>
    </w:p>
    <w:p>
      <w:r>
        <w:rPr>
          <w:b/>
        </w:rPr>
        <w:t>E. 3</w:t>
      </w:r>
    </w:p>
    <w:p>
      <w:r>
        <w:t>Dies führt zur Abweisung der Verwaltungsgerichtsbeschwerde. Bei diesem Verfahrensausgang sind die bundesgerichtlichen Kosten dem Beschwerdeführer aufzuerlegen (Art. 156 in Verbindung mit Art. 153 und 153a OG ). Seinem Gesuch um unentgeltliche Rechtspflege und Verbeiständung kann nicht entsprochen werden, da er aufgrund der sorgfältigen und überzeugenden Prüfung der Sach- und Rechtslage im vorinstanzlichen Urteil nicht ernsthaft mit einem Erfolg der vorliegenden Beschwerde rechnen konnte ( Art. 152 OG ). Der finanziellen Lage des Beschwerdeführers ist bei der Festsetzung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