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2A.244/2001 vom 14. November 2001</w:t>
      </w:r>
    </w:p>
    <w:p>
      <w:r>
        <w:t>Bundesgericht, 2001-11-14, DE</w:t>
      </w:r>
    </w:p>
    <w:p>
      <w:r>
        <w:rPr>
          <w:b/>
        </w:rPr>
        <w:t xml:space="preserve">Quelle: </w:t>
      </w:r>
      <w:r>
        <w:t>https://mcp.opencaselaw.ch/entscheid/bger_2A.244_2001</w:t>
      </w:r>
    </w:p>
    <w:p>
      <w:r>
        <w:t>FR: TF 2A.244/2001 du 14 novembre 2001</w:t>
      </w:r>
    </w:p>
    <w:p>
      <w:r>
        <w:t>IT: TF 2A.244/2001 del 14 novembre 2001</w:t>
      </w:r>
    </w:p>
    <w:p>
      <w:pPr>
        <w:pStyle w:val="Heading2"/>
      </w:pPr>
      <w:r>
        <w:t>Erwägungen</w:t>
      </w:r>
    </w:p>
    <w:p>
      <w:r>
        <w:rPr>
          <w:b/>
        </w:rPr>
        <w:t>E. 1</w:t>
      </w:r>
    </w:p>
    <w:p>
      <w:r>
        <w:t>Das Bundesgericht prüft die Zulässigkeit der bei ihm eingereichten Beschwerden von Amtes wegen und mit freier Kognition ( BGE 124 I 11 E. 1 S. 13, mit Hinweis). Entsprechend der Subsidiarität der staatsrechtlichen Beschwerde ist als erstes zu beurteilen, ob die Verwaltungsgerichtsbeschwerde offen steht.</w:t>
      </w:r>
    </w:p>
    <w:p>
      <w:r>
        <w:t>a) Gemäss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99 - 102 OG oder in der Spezialgesetzgebung vorgesehenen Ausschlussgründe gegeben ist ( BGE 123 II 231 E. 2 S. 233). Gleiches gilt auch für gemischtrechtliche Verfügungen, die sowohl auf kantonalem als auch auf Bundesrecht beruhen, falls und soweit eine Verletzung von unmittelbar anwendbarem Bundesrecht in Frage steht. Weiter sind im Verfahren der Verwaltungsgerichtsbeschwerde Anordnungen zu überprüfen, die sich entweder auf unselbständiges kantonales Ausführungsrecht zum Bundesrecht oder auf übriges kantonales Recht stützen, welches einen hinreichend engen Sachzusammenhang mit einer im Rahmen der Verwaltungsgerichtsbeschwerde zu beurteilenden Frage des Bundesverwaltungsrechts aufweist.</w:t>
      </w:r>
    </w:p>
    <w:p>
      <w:r>
        <w:t>Soweit dem angefochtenen Entscheid selbständiges kantonales Recht ohne den genannten Sachzusammenhang zum Bundesrecht zugrunde liegt, steht einzig die staatsrechtliche Beschwerde zur Verfügung ( BGE 123 II 359 E. 1a/aa S. 361; 122 II 241 E. 2a S. 243; 121 II 72 E. 1b S. 75; 120 Ib 27 E. 2a S. 29, je mit Hinweisen).</w:t>
      </w:r>
    </w:p>
    <w:p>
      <w:r>
        <w:t>b) aa) Die im Bundesgesetz vom 20. März 1970 über die Verbesserung der Wohnverhältnisse in Berggebieten (VWBG, SR 844) vorgesehenen Finanzhilfen des Bundes setzen voraus, dass auch der betreffende Kanton eine eigene Leistung gewährt ( Art. 7 Abs. 1 VWBG ). Deren minimale Höhe wird in Art. 8 VWBG umschrieben, wobei Leistungen von Gemeinden oder anderen öffentlichrechtlichen Korporationen in einem bestimmten Rahmen an die Kantonsleistung angerechnet werden ( Art. 9 VWBG ). Die Leistungen des Kantons können nicht nur in bar, sondern auch in anderer Form erbracht werden ( Art. 10 VWBG ); im Übrigen richten sie sich im Rahmen der Vorgaben des Bundesgesetzes nach kantonalem Recht ( Art. 7 Abs. 2 VWBG ).</w:t>
      </w:r>
    </w:p>
    <w:p>
      <w:r>
        <w:t>bb) Die Bestimmungen des Gesetzes über die Rückerstattungspflicht ( Art. 13 VWBG ) sowie über die Verjährung der Rückerstattungsansprüche ( Art. 14 VWBG ) gelten für die Finanzhilfen des Bundes. Vorliegend geht es ausschliesslich um die Rückerstattung des vom Kanton St. Gallen geleisteten Beitrags. Diese Frage fällt, mangels einer diesbezüglichen Vorschrift des Bundesgesetzes, in die Regelungskompetenz des Kantons. Der Kanton ist bei der Normierung der Rückerstattungsvoraussetzungen zwar allenfalls insoweit gebunden, als er nach Sinn und Zweck des Bundesgesetzes für seine eigenen (Pflicht-)Leistungen keine weitergehende Rückerstattungspflicht statuieren darf, als sie in Art. 13 VWBG für die Finanzhilfen des Bundes vorgesehen ist. Das Bundesrecht verlangt aber nicht, dass die Kantone für ihre Beiträge eine Rückerstattungspflicht überhaupt vorsehen, und es verbietet auch nicht, die Rückerstattungspflicht für kantonale Beiträge (zugunsten des Empfängers) restriktiver zu formulieren als für die Finanzhilfen des Bundes.</w:t>
      </w:r>
    </w:p>
    <w:p>
      <w:r>
        <w:t>cc) Nach Art. 3 des st. gallischen Einführungsgesetzes vom 28. November 1982 zum VWBG werden die "Vorschriften des Bundes" für die Staats- und Gemeindebeiträge "sachgemäss angewendet". Die in Art. 13 und 14 VWBG enthaltenen Bestimmungen gelten damit auch für die Rückerstattung der kantonalen Leistungen. Doch sind diese Normen in diesem Falle nicht als Bundesverwaltungsrecht, sondern als kantonales Recht anwendbar. Als Bundesrecht entfalten die in Art. 13 f. VWBG enthaltenen Bestimmungen nur insoweit Wirkungen, als der Kanton hier nicht zuungunsten des Subventionsempfängers strenger legiferieren darf (vorne E. 1b/bb).</w:t>
      </w:r>
    </w:p>
    <w:p>
      <w:r>
        <w:t>c) Der beschwerdeführende Kanton wirft seinem Verwaltungsgericht vor, es habe das Vorliegen der Voraussetzungen für die Rückforderung des Kantonsbeitrages zu Unrecht verneint. Darin kann nach dem Gesagten zum Vornherein kein Verstoss gegen Normen des einschlägigen Bundesverwaltungsrechtes liegen. Steht aber einzig die richtige Handhabung von (selbständigem oder unselbständigem) kantonalem Recht in Frage, ohne dass zugleich eine mögliche Verletzung von unmittelbar anwendbarem Bundesverwaltungsrecht zu beurteilen ist, fällt die Verwaltungsgerichtsbeschwerde als Rechtsmittel ausser Betracht (vgl. E. 1a).</w:t>
      </w:r>
    </w:p>
    <w:p>
      <w:r>
        <w:rPr>
          <w:b/>
        </w:rPr>
        <w:t>E. 2</w:t>
      </w:r>
    </w:p>
    <w:p>
      <w:r>
        <w:t>Gegen den angefochtenen Entscheid steht somit einzig das Rechtsmittel der staatsrechtlichen Beschwerde zur Verfügung ( Art. 84 Abs. 2, Art. 86 Abs. 1 OG ), welches der Kanton St. Gallen subsidiär erhoben hat.</w:t>
      </w:r>
    </w:p>
    <w:p>
      <w:r>
        <w:t>a) Die staatsrechtliche Beschwerde ist ein Rechtsmittel zum Schutze der Träger verfassungsmässiger Rechte gegen Übergriffe der Staatsgewalt. Solche Rechte stehen grundsätzlich nur Privaten zu, nicht dagegen dem Gemeinwesen als Inhaber hoheitlicher Gewalt. Öffentlichrechtliche Körperschaften sind zur staatsrechtlichen Beschwerde legitimiert, wenn sie nicht hoheitlich auftreten, sondern durch einen staatlichen Akt wie eine Privatperson betroffen werden.</w:t>
      </w:r>
    </w:p>
    <w:p>
      <w:r>
        <w:t>Gemeinden und andere öffentlichrechtliche Körperschaften können sich zudem mit staatsrechtlicher Beschwerde gegen eine Verletzung ihrer durch das kantonale Recht gewährleisteten Autonomie oder Bestandesgarantie zur Wehr setzen ( BGE 125 I 173 E. 1b S. 175 ; 121 I 218 E. 2a S. 219 f.; 120 Ia 95 E. 1a S. 96 f., je mit Hinweisen).</w:t>
      </w:r>
    </w:p>
    <w:p>
      <w:r>
        <w:t>b) Der Kanton St. Gallen wird durch den angefochtenen Entscheid nicht wie ein Privater, sondern offensichtlich in seiner Stellung als Träger öffentlicher Aufgaben betroffen.</w:t>
      </w:r>
    </w:p>
    <w:p>
      <w:r>
        <w:t>Zur Ergreifung der staatsrechtlichen Beschwerde fehlt es ihm daher - zumal auch keine Verletzung seiner Autonomie oder Bestandesgarantie in Frage steht - an der nach Art. 88 OG erforderlichen Legitimation. Dies gilt auch insoweit, als eine Verletzung des rechtlichen Gehörs gerügt wird ( BGE 120 Ia 95 E. 2 S. 100 ; 121 I 218 E. 4a S. 223).</w:t>
      </w:r>
    </w:p>
    <w:p>
      <w:r>
        <w:rPr>
          <w:b/>
        </w:rPr>
        <w:t>E. 3</w:t>
      </w:r>
    </w:p>
    <w:p>
      <w:r>
        <w:t>Soweit der Kanton St. Gallen seine Eingabe vom 21. Mai 2001 als Verwaltungsgerichtsbeschwerde eingereicht hat, ist darauf mangels Zulässigkeit des Rechtsmittels nicht einzutreten (E. 1c). Soweit mit der fraglichen Eingabe staatsrechtliche Beschwerde geführt wird, kann darauf mangels Legitimation des Kantons ebenfalls nicht eingetreten werden (E. 2).</w:t>
      </w:r>
    </w:p>
    <w:p>
      <w:r>
        <w:t>Bei diesem Ausgang des Verfahrens sind die Gerichtskosten dem beschwerdeführenden Kanton aufzuerlegen, um dessen Vermögensinteressen es vorliegend geht (Art. 156 Abs. 1 und 2, Art. 153 und 153a OG ). Die Beschwerdegegnerin, die nicht anwaltlich vertreten war und die sich im vorliegenden Verfahren auch nicht hat vernehmen lassen, hat keinen Anspruch auf Parteikostenersatz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