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2A.236/2002 vom 27. Mai 2002</w:t>
      </w:r>
    </w:p>
    <w:p>
      <w:r>
        <w:t>Bundesgericht, 2002-05-27, DE</w:t>
      </w:r>
    </w:p>
    <w:p>
      <w:r>
        <w:rPr>
          <w:b/>
        </w:rPr>
        <w:t xml:space="preserve">Quelle: </w:t>
      </w:r>
      <w:r>
        <w:t>https://mcp.opencaselaw.ch/entscheid/bger_2A.236_2002</w:t>
      </w:r>
    </w:p>
    <w:p>
      <w:r>
        <w:t>FR: TF 2A.236/2002 du 27 mai 2002</w:t>
      </w:r>
    </w:p>
    <w:p>
      <w:r>
        <w:t>IT: TF 2A.236/2002 del 27 maggio 2002</w:t>
      </w:r>
    </w:p>
    <w:p>
      <w:pPr>
        <w:pStyle w:val="Heading2"/>
      </w:pPr>
      <w:r>
        <w:t>Regeste</w:t>
      </w:r>
    </w:p>
    <w:p>
      <w:r>
        <w:t>Bürgerrecht und Ausländerrecht</w:t>
      </w:r>
    </w:p>
    <w:p>
      <w:pPr>
        <w:pStyle w:val="Heading2"/>
      </w:pPr>
      <w:r>
        <w:t>Erwägungen</w:t>
      </w:r>
    </w:p>
    <w:p>
      <w:r>
        <w:rPr>
          <w:b/>
        </w:rPr>
        <w:t>E. 1</w:t>
      </w:r>
    </w:p>
    <w:p>
      <w:r>
        <w:t>Die zuständige Behörde kann einen Ausländer in Ausschaffungshaft nehmen bzw. in dieser belassen, sofern die Voraussetzungen von Art. 13b ANAG erfüllt sind. Danach ist im Einzelnen unter anderem erforderlich, dass ein erstinstanzlicher, nicht notwendigerweise auch rechtskräftiger Weg- oder Ausweisungsentscheid vorliegt (vgl. BGE 121 II 59 E. 2 S. 61; 125 II 369 E. 3a S. 374; 122 II 148 E. 1 S. 150), dessen Vollzug (z.B. wegen fehlender Reisepapiere) noch nicht möglich, jedoch absehbar ist ( BGE 125 II 369 E. 3a S. 374, 377 E. 2a S. 379). Sodann muss einer der in Art. 13b Abs. 1 ANAG genannten Haftgründe bestehen ( BGE 125 II 369 E. 3a S. 374, 377 E. 3a S. 381; 124 II 1 E. 1 S. 3) und die Ausschaffung rechtlich und tatsächlich möglich sein (vgl. Art. 13c Abs. 5 lit. a ANAG ; dazu BGE 125 II 217 E. 2 S. 220, 377 E. 5 S. 384). Auf Seiten der Behörden sind die für den Vollzug der Wegweisung notwendigen Vorkehrungen (wie Identitäts- und Herkunftsabklärungen, Papierbeschaffung) umgehend zu treffen ( Art. 13b Abs. 3 ANAG , Beschleunigungsgebot; vgl. BGE 124 II 49 ff.). Die Haft darf höchstens drei Monate dauern; stehen dem Vollzug der Wegweisung besondere Hindernisse entgegen, so kann die Haft mit Zustimmung der kantonalen richterlichen Behörde um höchstens sechs Monate verlängert werden ( Art. 13b Abs. 2 ANAG ). Im Haftverlängerungsverfahren hat der (mittellose) Ausländer (auf Gesuch hin) Anspruch auf einen unentgeltlichen Rechtsbeistand ( BGE 122 I 49 E. 2c/cc S. 53).</w:t>
      </w:r>
    </w:p>
    <w:p>
      <w:r>
        <w:rPr>
          <w:b/>
        </w:rPr>
        <w:t>E. 2.1</w:t>
      </w:r>
    </w:p>
    <w:p>
      <w:r>
        <w:t>In seiner Verfügung vom 25. April 2002, 08.20 Uhr, hatte der zuständige Haftrichter erwogen, nach Einsicht in das Gesuch des Migrationsamtes um Haftverlängerung erweise sich die Bestellung eines unentgeltlichen Rechtsbeistandes als notwendig. Er setzte die mündliche Verhandlung auf den Nachmittag desselben Tages an und bestellte dem Beschwerdeführer Rechtsanwältin E.________ als unentgeltliche Rechtsbeiständin. Der Beschwerdeführer macht geltend, er habe bereits am 5. April 2002 Rechtsanwältin S.________ mandatiert. Diese habe am 8. April 2002 - substituiert durch lic.iur. D.________ - beim Migrationsamt des Kantons Zürich ein Gesuch um Akteneinsicht gestellt und sich durch Einreichung einer Vollmacht als Rechtsvertreterin des Beschwerdeführers legitimiert. Das Migrationsamt habe es dann aber unterlassen, ihr den Antrag auf Verlängerung der Haft zu eröffnen. Das Amt habe die Vollmacht auch nicht an den Haftrichter weitergeleitet. Der Beschwerdeführer sei deshalb an der mündlichen Verhandlung nicht rechtsgenüglich vertreten gewesen, zumal die ihm vom Haftrichter beigeordnete unentgeltliche Rechtsbeiständin seine Interessen überhaupt nicht gewahrt habe.</w:t>
      </w:r>
    </w:p>
    <w:p>
      <w:r>
        <w:rPr>
          <w:b/>
        </w:rPr>
        <w:t>E. 2.2</w:t>
      </w:r>
    </w:p>
    <w:p>
      <w:r>
        <w:t>Gemäss Art. 13d Abs. 1 ANAG kann der Verhaftete mit seinem Rechtsvertreter mündlich und schriftlich verkehren. Daraus ergibt sich, dass der Ausländer im Haftanordnungs- und Haftprüfungsverfahren einen rechtskundigen Vertreter beiziehen kann ( BGE 122 II 154 E. 2c S.157). Dies bedeutet, dass die Behörden einem Ausländer auf dessen Ersuchen hin den Kontakt zu einem Anwalt oder anderen Rechtsvertreter ermöglichen müssen, wenn ein solcher konkret erwähnt und bezeichnet wird.</w:t>
      </w:r>
    </w:p>
    <w:p>
      <w:r>
        <w:rPr>
          <w:b/>
        </w:rPr>
        <w:t>E. 2.3</w:t>
      </w:r>
    </w:p>
    <w:p>
      <w:r>
        <w:t>Vorliegend befindet sich das Schreiben des Advokaturbüros G.________ vom 8. April 2002, mit welchem dem Migrationsamt eine Vollmacht zugestellt wurde, nicht bei den vom Migrationsamt eingereichten Akten, ebenso wenig die dazugehörige Vollmacht. Offenbar handelt es sich dabei um die gleiche Vollmacht wie die für das bundesgerichtliche Verfahren eingereichte, die der Beschwerdeführer am 5. April 2002 unterzeichnet hatte. Aus dem Antwortschreiben des Migrationsamtes vom 11. April 2002 an das Advokaturbüro G.________ ist aber zu folgern, dass eine solche Vollmacht tatsächlich eingereicht worden ist. Damit wäre das Migrationsamt verpflichtet gewesen, die bezeichnete Anwältin als gewählte Rechtsvertreterin des Beschwerdeführers zu behandeln, und diese hätte vom Haftrichter richtigerweise auch für die Verhandlung vom 25. April 2002 beigezogen werden müssen. Aus welchem Grund dies nicht geschah bzw. weshalb es zur Ernennung einer anderen unentgeltlichen Rechtsbeiständin kam, ist nicht bekannt, zumal sich die im bundesgerichtlichen Verfahren zur Vernehmlassung eingeladenen kantonalen Behörden hierzu erstaunlicherweise nicht geäussert haben.</w:t>
      </w:r>
    </w:p>
    <w:p>
      <w:r>
        <w:rPr>
          <w:b/>
        </w:rPr>
        <w:t>E. 2.4</w:t>
      </w:r>
    </w:p>
    <w:p>
      <w:r>
        <w:t>An der Haftrichterverhandlung war der Beschwerdeführer - wie ausgeführt - durch eine amtlich bestellte Anwältin vertreten. Er hätte an sich Gelegenheit und Anlass gehabt, auf das bereits bestehende Mandatsverhältnis hinzuweisen. Offenbar hat er aber - gemäss unwidersprochener Darstellung in der Beschwerdeschrift - entschuldbarerweise selber nicht gemerkt, dass die erschienene Anwältin nicht die von ihm beauftragte war. Auf Grund der Aktenlage (vgl. E. 2.3) sowie des Umstandes, dass die kantonalen Behörden zu dieser Sachverhaltsdarstellung keine Stellung genommen haben, ist davon auszugehen, dass sie im fraglichen Punkt zutrifft.</w:t>
      </w:r>
    </w:p>
    <w:p>
      <w:r>
        <w:rPr>
          <w:b/>
        </w:rPr>
        <w:t>E. 3</w:t>
      </w:r>
    </w:p>
    <w:p>
      <w:r>
        <w:t>Indem der Haftrichter die Haftverhandlung durchführte, ohne die vom Beschwerdeführer beauftragte Vertreterin hierzu einzuladen, verletzte er dessen Anspruch auf rechtliches Gehör ( Art. 29 Abs. 2 BV ). Dass der Haftrichter vom bestehenden Mandatsverhältnis offenbar keine Kenntnis hatte, ändert nichts; der begangene Fehler wurde durch den Beizug einer amtlich bestellten Anwältin nicht geheilt. Die Beschwerde ist in diesem Punkt begründet und der Entscheid des Haftrichters deshalb aufzuheben.</w:t>
      </w:r>
    </w:p>
    <w:p>
      <w:r>
        <w:rPr>
          <w:b/>
        </w:rPr>
        <w:t>E. 4.1</w:t>
      </w:r>
    </w:p>
    <w:p>
      <w:r>
        <w:t>Der Beschwerdeführer beantragt seine unverzügliche Entlassung aus der Haft. Nicht jede Verletzung von Verfahrensvorschriften bei der Haftprüfung führt indessen auch zur Haftentlassung. Es kommt darauf an, welche Bedeutung einerseits den verletzten Vorschriften für die Wahrung der Rechte des Betroffenen und andererseits dem Interesse an einer reibungslosen Durchsetzung der Ausschaffung zukommt ( BGE 122 II 154 E. 3a S. 158; 125 II 369 E. 2e S. 374).</w:t>
      </w:r>
    </w:p>
    <w:p>
      <w:r>
        <w:rPr>
          <w:b/>
        </w:rPr>
        <w:t>E. 4.2</w:t>
      </w:r>
    </w:p>
    <w:p>
      <w:r>
        <w:t>Im vorliegenden Falle hat der Haftrichter rechtzeitig auf Grund einer mündlichen Verhandlung über das Gesuch um Haftverlängerung befunden und dem Beschwerdeführer für dieses Verfahren einen amtlich bestellten unentgeltlichen Rechtsbeistand beigegeben. Der Entscheid über die Verlängerung der Haft genügt insofern in formeller Hinsicht den gesetzlichen und verfassungsrechtlichen Anforderungen. Der vom Haftrichter bejahte Haftgrund (Untertauchensgefahr) wird mit der vorliegenden Beschwerde ausdrücklich nicht bestritten. Gerügt wird einzig eine Verletzung des Beschleunigungsgebotes (durch versehentliches Liegenlassen eines Passantragsformulars). Auf Grund der vorliegenden Akten lässt sich dieser Vorwurf, der an der Haftrichterverhandlung nicht zur Sprache gekommen war, nicht oder jedenfalls nicht ohne weiteres belegen. Die beantragte sofortige Haftentlassung des Beschwerdeführers erscheint daher nicht gerechtfertigt. Der durch die Missachtung des bestehenden Mandatsverhältnisses begangene Fehler wird dadurch in ausreichender Weise sanktioniert, dass der Haftrichter über die Haftverlängerung unter Beizug der vom Beschwerdeführer gewählten Rechtsvertreterin auf Grund einer neuen Verhandlung ohne Verzug nochmals zu entscheiden hat. Dem Begehren um sofortige Haftentlassung ist nicht zu entsprechen. Es wird Sache des Haftrichters sein, die Einhaltung des Beschleunigungsgebotes - unter Berücksichtigung des dannzumaligen Standes der Dinge - in einer neuen Verhandlung zu prüfen und sich mit den entsprechenden Vorbringen des Beschwerdeführers bzw. denjenigen seiner mandatierten Rechtsvertreterin auseinander zu setzen.</w:t>
      </w:r>
    </w:p>
    <w:p>
      <w:r>
        <w:rPr>
          <w:b/>
        </w:rPr>
        <w:t>E. 5</w:t>
      </w:r>
    </w:p>
    <w:p>
      <w:r>
        <w:t>Die Verwaltungsgerichtsbeschwerde ist teilweise gutzuheissen und der angefochtene Entscheid aufzuheben. Die Sache ist zur unverzüglichen Durchführung einer neuen mündlichen Verhandlung an den Haftrichter des Bezirksgerichts Zürich zurückzuweisen. Im Übrigen ist die Beschwerde abzuweisen. Entsprechend dem Verfahrensausgang ist keine Gerichtsgebühr zu erheben ( Art. 156 Abs. 2 OG ). Hingegen hat der Kanton Zürich den Beschwerdeführer für das bundesgerichtliche Verfahren angemessen zu entschädigen ( Art. 159 Abs. 2 OG ).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