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2A.233/2006 vom 13. Juli 2006</w:t>
      </w:r>
    </w:p>
    <w:p>
      <w:r>
        <w:t>Bundesgericht, 2006-07-13, DE</w:t>
      </w:r>
    </w:p>
    <w:p>
      <w:r>
        <w:rPr>
          <w:b/>
        </w:rPr>
        <w:t xml:space="preserve">Quelle: </w:t>
      </w:r>
      <w:r>
        <w:t>https://mcp.opencaselaw.ch/entscheid/bger_2A.233_2006</w:t>
      </w:r>
    </w:p>
    <w:p>
      <w:r>
        <w:t>FR: TF 2A.233/2006 du 13 juillet 2006</w:t>
      </w:r>
    </w:p>
    <w:p>
      <w:r>
        <w:t>IT: TF 2A.233/2006 del 13 luglio 2006</w:t>
      </w:r>
    </w:p>
    <w:p>
      <w:pPr>
        <w:pStyle w:val="Heading2"/>
      </w:pPr>
      <w:r>
        <w:t>Regeste</w:t>
      </w:r>
    </w:p>
    <w:p>
      <w:r>
        <w:t>Ausweisung | Bürgerrecht und Ausländerrecht</w:t>
      </w:r>
    </w:p>
    <w:p>
      <w:pPr>
        <w:pStyle w:val="Heading2"/>
      </w:pPr>
      <w:r>
        <w:t>Erwägungen</w:t>
      </w:r>
    </w:p>
    <w:p>
      <w:r>
        <w:rPr>
          <w:b/>
        </w:rPr>
        <w:t>E. 1.1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bzw. gestützt auf Art. 5 des Anhanges I zum Abkommen vom 21. Juni 1999 zwischen der Schweizerischen Eidgenossenschaft einerseits und der Europäischen Gemeinschaft und ihren Mitgliedstaaten andererseits über die Freizügigkeit (Freizügigkeitsabkommen, FZA; SR 0.142.112.681) angeordnet worden ist (Art. 100 Abs. 1 lit. b Ziff. 4 OG e contrario).</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Sachverhaltsfeststellungen im angefochtenen Entscheid gebunden ( Art. 105 Abs. 2 OG ).</w:t>
      </w:r>
    </w:p>
    <w:p>
      <w:r>
        <w:rPr>
          <w:b/>
        </w:rPr>
        <w:t>E. 2.1</w:t>
      </w:r>
    </w:p>
    <w:p>
      <w:r>
        <w:t>Gemäss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142.201]).</w:t>
      </w:r>
    </w:p>
    <w:p>
      <w:r>
        <w:rPr>
          <w:b/>
        </w:rPr>
        <w:t>E. 2.2</w:t>
      </w:r>
    </w:p>
    <w:p>
      <w:r>
        <w:t>Der Beschwerdeführer ist mehrfach gerichtlich verurteilt worden, namentlich zu vier Jahren Zuchthaus und zwei Jahren Gefängnis wegen Drogendelikten. Damit ist der Ausweisungsgrund von Art. 10 Abs. 1 lit. a ANAG erfüllt (vgl. BGE 125 II 521 E. 3 S. 524 ff.). Der Beschwerdeführer macht aber geltend, die Ausweisung sei unverhältnismässig. Zu prüfen ist insbesondere, ob die in Art. 16 Abs. 3 ANAV genannten Gesichtspunkte von der Vorinstanz bei ihrem Entscheid berücksichtigt und richtig angewandt worden sind.</w:t>
      </w:r>
    </w:p>
    <w:p>
      <w:r>
        <w:rPr>
          <w:b/>
        </w:rPr>
        <w:t>E. 2.2.1</w:t>
      </w:r>
    </w:p>
    <w:p>
      <w:r>
        <w:t>Ausgangspunkt und Massstab für die Schwere des Verschuldens und die fremdenpolizeiliche Interessenabwägung sind die vom Strafrichter verhängten Strafen (vgl. BGE 129 II 215 E. 3.1 S. 216, 120 Ib 6 E. 4b S. 14, je mit Hinweisen). Zu Recht hat die Vorinstanz das Verschulden des Beschwerdeführers als gesamthaft sehr schwer beurteilt. Die besondere Strenge der Rechtsprechung gegenüber dem Drogenhandel hat namentlich gegenüber Tätern zu gelten, die - wie vorliegend - nicht selber drogenabhängig sind und vielmehr aus pekuniären Interessen handeln, was ihr Verhalten umso verwerflicher macht. Erschwerend fällt hier weiter ins Gewicht, dass der Täter nach seiner vorzeitigen Entlassung aus dem Zuchthaus noch innerhalb der Probezeit und auf dem gleichen Gebiet rückfällig geworden ist. Ebenso wenig hat er sich durch die fremdenpolizeiliche Androhung der Ausweisung aus der Schweiz abschrecken lassen. Unzutreffend ist die Behauptung (vgl. S. 7 der Beschwerdeschrift vor Bundesgericht, 2.3.1), der Beschwerdeführer habe sich abgesehen von den beiden Drogendelikten an die Rechtsordnung gehalten (siehe dazu insbesondere E. 3.1 des angefochtenen Entscheids, S. 6 f.). Als geradezu abwegig erweist sich die Argumentation, die erste Verurteilung dürfe nicht berücksichtigt werden, weil damals von einer Ausweisung abgesehen und eine solche nur angedroht worden sei. Es sollte sich im Gegenteil von selbst verstehen, dass darauf zurückgekommen werden kann, nachdem sich die der Ausweisungsandrohung zugrunde liegende Erwartung, der Beschwerdeführer werde sich in Zukunft nichts mehr zuschulden lassen, nicht bewahrheitet hat; genau das ist ja der Sinn der Massnahme. Weil der Beschwerdeführer innert kurzer Zeit auf dem gleichen Gebiet schwer rückfällig geworden ist und sich seit der zweiten Haftentlassung noch nicht lange wohlverhalten hat, hat das Verwaltungsgericht auch - in Abweichung vom Sozialbericht der Strafanstalt - eine ungünstige Zukunftsprognose aussprechen können, ohne dass darin ein Verstoss gegen Bundesrecht oder eine qualifiziert unzutreffende Sachverhaltsfeststellung (vgl. E. 1.2 hiervor) läge.</w:t>
      </w:r>
    </w:p>
    <w:p>
      <w:r>
        <w:rPr>
          <w:b/>
        </w:rPr>
        <w:t>E. 2.2.2</w:t>
      </w:r>
    </w:p>
    <w:p>
      <w:r>
        <w:t>Es besteht somit ein gewichtiges öffentliches Interesse an der Ausweisung des Beschwerdeführers. Dieses wird durch seine privaten Interessen an einem Verbleib in der Schweiz nicht aufgewogen. Zwar befindet er sich seit mehr als 30 Jahren hier. Trotz der langen Aufenthaltsdauer ist er jedoch nur mangelhaft in die Gesellschaft des Gastlandes eingegliedert und hat sich rücksichtslos sowie unbelehrbar gezeigt. Seine Invalidität, welche ihn von einer wiederholten und gesamthaft sehr schweren verbrecherischen Tätigkeit nicht abgehalten hat, ist vom Verwaltungsgericht genügend in Betracht gezogen worden. Im Weiteren ist er kein Ausländer der zweiten Generation und auch nicht mit einer Schweizerin bzw. mit einer niederlassungsberechtigten Ausländerin verheiratet. Die Konkubinatsbeziehung kann zwar im Rahmen der Interessenabwägung mitberücksichtigt werden, doch kommt ihr nicht das gleiche Gewicht zu wie einer ehelichen Verbindung. Es liegt auf jeden Fall kein Eingriff in das Familienleben im Sinne von Art. 8 EMRK vor. Zu Recht hat die Vorinstanz erwogen, dem Beschwerdeführer sei eine Rückkehr ins Heimatland zumutbar, was auch für die spanischsprechende Partnerin zutreffen dürfte, soweit dies hier massgeblich sein kann.</w:t>
      </w:r>
    </w:p>
    <w:p>
      <w:r>
        <w:rPr>
          <w:b/>
        </w:rPr>
        <w:t>E. 2.3</w:t>
      </w:r>
    </w:p>
    <w:p>
      <w:r>
        <w:t>Somit erweist sich die Ausweisung im Hinblick auf Art. 10 lit. a ANAG als gerechtfertigt und verhältnismässig. Der angefochtene Entscheid beruht weder auf einer mangelhaften Feststellung des Sachverhalts noch verstösst er gegen Bundesrecht. Für eine Zurückweisung an die Vorinstanz besteht ebenso wenig Grund wie für weitere Abklärungen oder eine Beschränkung der Ausweisung auf zwei Jahre.</w:t>
      </w:r>
    </w:p>
    <w:p>
      <w:r>
        <w:rPr>
          <w:b/>
        </w:rPr>
        <w:t>E. 3</w:t>
      </w:r>
    </w:p>
    <w:p>
      <w:r>
        <w:t>Etwas anderes ergibt sich auch nicht aus dem Freizügigkeitsabkommen mit der Europäischen Gemeinschaft. Diesbezüglich kann auf den angefochtenen Entscheid verwiesen werden (vgl. E. 1.3 - 3, S. 4 ff.). Der Umstand, dass der Beschwerdeführer innert kurzer Zeit auf dem gleichen Gebiet schwer rückfällig geworden ist, ist von besonderer Bedeutung für die Beurteilung der Frage, ob von ihm heute noch eine Gefährdung der öffentlichen Ordnung ausgeht. Das hat die Vorinstanz zu Recht bejaht, ohne sich auf (rein oder vorwiegend) generalpräventive Überlegungen zu stützen.</w:t>
      </w:r>
    </w:p>
    <w:p>
      <w:r>
        <w:rPr>
          <w:b/>
        </w:rPr>
        <w:t>E. 4</w:t>
      </w:r>
    </w:p>
    <w:p>
      <w:r>
        <w:t>Nach dem Gesagten ist die Beschwerde abzuweisen. Da sie aufgrund der umfassenden und sorgfältigen Würdigung der Sach- und Rechtslage im angefochtenen Entscheid sowie der Unzulässigkeit neuer Vorbringen keine ernsthaften Erfolgsaussichten hatte ( Art. 152 OG ), kann dem Gesuch um unentgeltliche Rechtspflege und Verbeiständung für das bundesgerichtliche Verfahren nicht entsprochen werden. Gemäss dem Ausgang sind die Kosten des bundesgerichtlichen Verfahrens dem Beschwerdeführer aufzuerlegen (Art. 156 Abs. 1 in Verbindung mit Art. 153 und 153a OG ). Bei der Festsetzung wird der finanziellen Lage des Beschwerdeführers Rechnung getragen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