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2A.232/2000 vom 2. März 2001</w:t>
      </w:r>
    </w:p>
    <w:p>
      <w:r>
        <w:t>Bundesgericht, 2001-03-02, DE</w:t>
      </w:r>
    </w:p>
    <w:p>
      <w:r>
        <w:rPr>
          <w:b/>
        </w:rPr>
        <w:t xml:space="preserve">Quelle: </w:t>
      </w:r>
      <w:r>
        <w:t>https://mcp.opencaselaw.ch/entscheid/bger_2A.232_2000</w:t>
      </w:r>
    </w:p>
    <w:p>
      <w:r>
        <w:t>FR: TF 2A.232/2000 du 2 mars 2001</w:t>
      </w:r>
    </w:p>
    <w:p>
      <w:r>
        <w:t>IT: TF 2A.232/2000 del 2 marzo 2001</w:t>
      </w:r>
    </w:p>
    <w:p>
      <w:pPr>
        <w:pStyle w:val="Heading2"/>
      </w:pPr>
      <w:r>
        <w:t>Erwägungen</w:t>
      </w:r>
    </w:p>
    <w:p>
      <w:r>
        <w:rPr>
          <w:b/>
        </w:rPr>
        <w:t>E. 1</w:t>
      </w:r>
    </w:p>
    <w:p>
      <w:r>
        <w:t>a) Nach Art. 139a OG ist die Revision eines Entscheids des Bundesgerichts zulässig, wenn der Europäische Gerichtshof für Menschenrechte eine Individualbeschwerde wegen Verletzung der Konvention vom 4. November 1950 zum Schutze der Menschenrechte und Grundfreiheiten (SR 0.101; im Weitern: EMRK oder Konvention) und deren Protokollen gutgeheissen hat und eine Wiedergutmachung nur durch eine Revision möglich erscheint (Abs. 1). Das Gesuch ist innert 90 Tagen ab Zustellung des Entscheids durch das Bundesamt für Justiz beim Bundesgericht einzureichen ( Art. 141 Abs. 1 lit. c OG ). Dazu befugt ist, wer im Verfahren, das zum angefochtenen Entscheid geführt hat, Parteistellung hatte und deshalb an der Wiederaufnahme ein schutzwürdiges Interesse besitzt (Elisabeth Escher, Revision und Erläuterung, in:</w:t>
      </w:r>
    </w:p>
    <w:p>
      <w:r>
        <w:t>Geiser/Münch, Prozessieren vor Bundesgericht, 2. Aufl. , Basel/Frankfurt a.M. 1998, S. 273, Rz. 8.6; VPB 63.86 II.3.</w:t>
      </w:r>
    </w:p>
    <w:p>
      <w:r>
        <w:t>S. 817).</w:t>
      </w:r>
    </w:p>
    <w:p>
      <w:r>
        <w:t>b) Das Bundesamt für Justiz hat dem Anwalt des Gesuchstellers das Urteil des Europäischen Gerichtshofs am 19. Februar 2000 eröffnet, womit das Revisionsgesuch am 15. Mai 2000 rechtzeitig eingereicht worden ist. Der Gesuchsteller war am ursprünglichen Verfahren als Kläger beteiligt und ist somit an sich befugt, dessen Revision gestützt auf Art. 139a OG zu beantragen. Ob und wieweit er in Bezug auf das Revisionsbegehren 2 ein eigenes schutzwürdiges und nicht bloss ein öffentliches Interesse wahrnimmt, kann dahingestellt bleiben, da dem Revisionsgesuch insofern - wie darzulegen sein wird - so oder anders nicht zu entsprechen ist.</w:t>
      </w:r>
    </w:p>
    <w:p>
      <w:r>
        <w:rPr>
          <w:b/>
        </w:rPr>
        <w:t>E. 2</w:t>
      </w:r>
    </w:p>
    <w:p>
      <w:r>
        <w:t>a) Nach Art. 46 EMRK (in der Fassung des 11. Zusatzprotokolls) übernehmen die Vertragsstaaten die Pflicht, in den sie betreffenden Fällen das Urteil des Gerichtshofs zu befolgen. Wird eine Individualbeschwerde gutgeheissen, sind sie gehalten, soweit möglich für eine vollkommene Wiedergutmachung zu sorgen ("Naturalrestitution", "restitutio in integrum"; BGE 120 V 150 E. 3c/bb S. 159; Jörg Polakiewicz, Die Verpflichtungen der Staaten aus den Urteilen des Europäischen Gerichtshofs für Menschenrechte, Berlin et al. 1992, S. 97 f.; Frank Schürmann, Erste Erfahrungen mit Art. 139a OG , in: Festschrift 125 Jahre Kassationsgericht des Kantons Zürich, Zürich 2000, S. 101 FN 28; Martin Philipp Wyss, EMRK-Verletzung und bundesrechtliche Revision nach Art. 139a OG , in: recht 17/1999 S. 97). Die Urteile des Gerichtshofs haben in der Regel rein deklaratorische Wirkung; es kann damit weder der konventionswidrige innerstaatliche Entscheid, der Gegenstand der Beschwerde gebildet hat, noch ein allenfalls diesem zugrunde liegendes nationales Gesetz aufgehoben werden (Haefliger/Schürmann, Die Europäische Menschenrechtskonvention und die Schweiz, Bern 1999, S. 426; Frowein/ Peukert, EMRK-Kommentar, 2. Aufl. , Kehl/Strassburg/Arlington 1996, Rz. 3 zu Art. 53; Andreas Kley, Das Verfahren vor dem Europäischen Gerichtshof für Menschenrechte und die Tragweite seiner Urteile, in: AJP 1997 S. 1004). Die Art der Wiederherstellung des konventionskonformen Zustands bleibt im Wesentlichen Sache des einzelnen Staates ( BGE 124 I 274 E. 3b, mit weiteren Hinweisen [Plumey] ; 124 I 327 E. 4d/bb S. 335 [Michailov]; 120 V 150 E. 3c/bb S. 158 [Schuler- Zgraggen]; Mark E. Villiger, Handbuch der Europäischen Menschenrechtskonvention [EMRK], 2. Aufl. , Zürich 1999, Rz. 232 f.; Polakiewicz, a.a.O., S. 98). Aus der Konvention selber ergibt sich keine Verpflichtung, das innerstaatliche Verfahren wieder aufzunehmen (Haefliger/Schürmann, a.a.O., S. 429; Polakiewicz, a.a.O., S. 112 f.). Gestattet das innerstaatliche Recht nur eine unvollkommene Wiedergutmachung, spricht der Gerichtshof der verletzten Partei, soweit ihm dies notwendig erscheint, völkerrechtlichen Gepflogenheiten im zwischenstaatlichen Verkehr entsprechend (Villiger, a.a.O., Rz. 238) eine gerechte Entschädigung zu ( Art. 41 EMRK ; vgl. Urteil des Gerichtshofs vom 31. Januar 1995 i.S. Schuler- Zgraggen, in: EuGRZ 1996 S. 608 ff.). Er macht heute von dieser Möglichkeit meist direkt Gebrauch, ohne die Frage der "restitutio in integrum" noch näher zu prüfen (Villiger, a.a.O., Rz. 238).</w:t>
      </w:r>
    </w:p>
    <w:p>
      <w:r>
        <w:t>b) aa) Gestützt auf Art. 139a OG kann das Bundesgericht umgekehrt ein Urteil revidieren, wenn die Wiedergutmachung der festgestellten Konventionsverletzung nicht anderweitig möglich ist. Das nationale und das internationale Recht stehen damit aber in einem gewissen Spannungsverhältnis zueinander (vgl. Wyss, a.a.O., S. 100; Schürmann, a.a.O., S. 93; Haefliger/Schürmann, a.a.O., S. 430): Der Europäische Gerichtshof ist an sich nur befugt, eine Entschädigung zuzusprechen, soweit innerstaatlich lediglich eine unvollkommene Wiedergutmachung möglich ist; das Bundesgericht kann sein Urteil seinerseits bloss revidieren, wenn keine andere Wiedergutmachung, wozu auch die "gerechte Entschädigung" nach Art. 41 EMRK zählt, offen steht. Ob bei dieser Ausgangslage der nationalen Vorschrift ( Art. 139a OG ; so Jean-François Poudret, Le nouveau motif de révision prévu dans la loi fédérale d'organisation judiciaire à raison de la violation de la CEDH, in: Beiträge zum schweizerischen und internationalen Zivilprozessrecht, Festschrift für Oscar Vogel, Freiburg 1991, S. 212; derselbe, Commentaire de la loi fédérale d'organisation judiciaire, Bern 1992, Bd. V, Ziff. 2.3 zu Art. 139a, S. 50; Villiger, a.a.O., Rz. 254 ff.) oder der internationalen Norm (Art. 41 bzw. 50 EMRK; in dieser Richtung:</w:t>
      </w:r>
    </w:p>
    <w:p>
      <w:r>
        <w:t>Schürmann, a.a.O., S. 100 ff. u. 105) Vorrang zukommt, hängt von den Umständen des jeweiligen Einzelfalls ab ( BGE 123 I 283 E. 3a S. 287 [Stürm]; Wyss, a.a.O., S. 101).</w:t>
      </w:r>
    </w:p>
    <w:p>
      <w:r>
        <w:t>Die Frage ist pragmatisch - mit Blick auf eine wirksame, aber verfahrensökonomische Durchsetzung der Konventionsgarantien einerseits und auf eine Berücksichtigung der sich an den Bestand eines Urteils knüpfenden Interessen andererseits - zu beantworten; dabei muss die Art der festgestellten Konventionsverletzung mitberücksichtigt werden (Wyss, a.a.O., S. 99). Das Zusammenspiel von nationalem und internationalem Recht soll insgesamt zu einer sinnvollen und zweckmässigen Wiederherstellung eines konventionskonformen Zustands führen und damit den effektiven Schutz der in der Konvention verankerten Garantien gewährleisten (vgl. Wyss, a.a.O., S. 93 f.; Gerhard Dannemann, Schadenersatz bei Verletzung der Europäischen Menschenrechtskonvention, Köln/Berlin/Bonn/München 1994, S. 14 f.; Polakiewicz, a.a.O., S. 96).</w:t>
      </w:r>
    </w:p>
    <w:p>
      <w:r>
        <w:t>bb) Stehen nur materielle Interessen auf dem Spiel und kann die Konventionsverletzung bloss noch mit einer Entschädigung gutgemacht werden, ist die Revision nach Art. 139a OG grundsätzlich ausgeschlossen ( BGE 125 III 185 E. 3 S. 188 [Hertel] ; 123 I 283 E. 3a S. 287 [Stürm] ; 123 I 329 E. 3 S. 335 ff. [Stürm II]; BBl 1991 II 529 f.; VPB 63.86 III.</w:t>
      </w:r>
    </w:p>
    <w:p>
      <w:r>
        <w:rPr>
          <w:b/>
        </w:rPr>
        <w:t>E. 4</w:t>
      </w:r>
    </w:p>
    <w:p>
      <w:r>
        <w:t>a) Der Ausgang des Staatshaftungsverfahrens von 1994 wurde durch die - nach dem Urteil des Gerichtshofs - zu Unrecht unterlassene Feststellung einer Verletzung von Art. 8 EMRK in der Sache selber nicht beeinflusst, womit der Gesuchsteller als unterliegender Kläger an sich die Verfahrenskosten zu tragen und keinen Anspruch auf Entschädigung hätte (vgl. Art. 156 Abs. 1 bzw. Art. 159 Abs. 1 OG ). Umgekehrt hielt das Bundesgericht fest, dass das Recht auf eine wirksame nationale Beschwerde nach Art. 13 EMRK mit dem angestrengten Staatshaftungsverfahren gewahrt sei (E. 2b/bb), womit der Gesuchsteller gehalten war, dieses zu durchschreiten, um mit seinen Rügen an die Konventionsorgane gelangen zu können, was eine teilweise Entschädigung rechtfertigt (vgl. Art. 35 Abs. 1 EMRK [Erschöpfung des nationalen Instanzenzugs]; Frowein/Peukert, a.a.O., Rz. 60 zu Art. 50 unter Hinweis auf das Urteil Le Compte). Nach Art. 156 Abs. 3 bzw. Art. 159 Abs. 3 OG kann das Bundesgericht die Verfahrens- und Parteikosten verhältnismässig verlegen, wenn sich die unterliegende Partei in guten Treuen zur Prozessführung veranlasst sehen durfte; dies war mit Blick auf die vom Gerichtshof festgestellte Konventionsverletzung hier der Fall. Die Kosten sind dementsprechend neu zu verteilen.</w:t>
      </w:r>
    </w:p>
    <w:p>
      <w:r>
        <w:t>b) aa) Der Gesuchsteller verlangt als Ersatz für die Verfahrenskosten - unter Einschluss der ihm auferlegten Gerichtsgebühr von Fr. 2'000.-- - insgesamt die Zahlung einer Summe von Fr. 19'691. 10. In Streitsachen, in denen das Bundesgericht als einzige Instanz entscheidet beträgt das Honorar bei einem Streitwert von Fr. 5'000.-- - wie er hier zur Diskussion stand - zwischen Fr. 1'500.-- und Fr. 6'000.-- (Art. 5 des Tarifs vom 9. November 1978 über die Entschädigung an die Gegenpartei für das Verfahren vor dem Bundesgericht; SR 173. 119.1). Da die Frage einer Verletzung von Konventionsbestimmungen jedoch aufwendig im Sinne von Art. 7 des Tarifs war, kann über diesen Ansatz hinausgegangen werden.</w:t>
      </w:r>
    </w:p>
    <w:p>
      <w:r>
        <w:t>An die Kosten für das Verfahren vor den Konventionsorganen wurden dem Gesuchsteller antragsgemäss rund Fr. 7'000.-- zugesprochen. Es ist davon auszugehen, dass seine mit der inzwischen festgestellten Konventionsverletzung in Zusammenhang stehenden Parteikosten im bundesgerichtlichen Verfahren leicht höher gewesen sein dürften. Es rechtfertigt sich deshalb, ihm zu Lasten der Beklagten revisionsweise eine Parteientschädigung von Fr. 9'000.-- zuzusprechen. Die Gerichtsgebühr ist ihm bloss im Umfang von Fr. 1'000.-- aus der Bundesgerichtskasse zurückzuerstatten, da das Gericht bereits bei der Festsetzung von deren Höhe am 14. September 1994 den besonderen Umständen des Falles Rechnung getragen hat (vgl. dort E. 5).</w:t>
      </w:r>
    </w:p>
    <w:p>
      <w:r>
        <w:t>bb) Da der Gesuchsteller im Revisionsverfahren nur teilweise obsiegt, ist ihm für dieses eine reduzierte Gerichtsgebühr aufzuerlegen ( Art. 156 Abs. 1 OG ). Die Gesuchsgegnerin hat den Gesuchsteller im Umfang seines Obsiegens für das Revisionsverfahren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