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2A.221/2001 vom 30. August 2001</w:t>
      </w:r>
    </w:p>
    <w:p>
      <w:r>
        <w:t>Bundesgericht, 2001-08-30, DE</w:t>
      </w:r>
    </w:p>
    <w:p>
      <w:r>
        <w:rPr>
          <w:b/>
        </w:rPr>
        <w:t xml:space="preserve">Quelle: </w:t>
      </w:r>
      <w:r>
        <w:t>https://mcp.opencaselaw.ch/entscheid/bger_2A.221_2001</w:t>
      </w:r>
    </w:p>
    <w:p>
      <w:r>
        <w:t>FR: TF 2A.221/2001 du 30 août 2001</w:t>
      </w:r>
    </w:p>
    <w:p>
      <w:r>
        <w:t>IT: TF 2A.221/2001 del 30 agosto 2001</w:t>
      </w:r>
    </w:p>
    <w:p>
      <w:pPr>
        <w:pStyle w:val="Heading2"/>
      </w:pPr>
      <w:r>
        <w:t>Regeste</w:t>
      </w:r>
    </w:p>
    <w:p>
      <w:r>
        <w:t>Bürgerrecht und Ausländerrecht</w:t>
      </w:r>
    </w:p>
    <w:p>
      <w:pPr>
        <w:pStyle w:val="Heading2"/>
      </w:pPr>
      <w:r>
        <w:t>Erwägungen</w:t>
      </w:r>
    </w:p>
    <w:p>
      <w:r>
        <w:rPr>
          <w:b/>
        </w:rPr>
        <w:t>E. 1</w:t>
      </w:r>
    </w:p>
    <w:p>
      <w:r>
        <w:t>a) Das beschwerdeführende Bundesamt ist ermächtigt, letztinstanzliche kantonale Entscheide in den Bereichen des Ausländer- und Bürgerrechts selbständig anzufechten (Art. 14 Abs. 2 der Organisationsverordnung vom 17. November 1999 für das Eidgenössische Justiz- und Polizeidepartement [OV-EJPD; SR 172. 213.1]). Es ist deshalb nach Art. 103 lit. b OG zur Verwaltungsgerichtsbeschwerde legitimiert. b)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Hat - wie hier - eine richterliche Behörde als Vorinstanz entschieden, so ist das Bundesgericht an deren Sachverhaltsfeststellung gebunden, sofern diese nicht offensichtlich unrichtig, unvollständig oder unter Verletzung wesentlicher Verfahrensbestimmungen ergangen ist ( Art. 105 Abs. 2 OG ). Damit können nachträgliche Veränderungen des Sachverhalts nicht berücksichtigt werden und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 c)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2</w:t>
      </w:r>
    </w:p>
    <w:p>
      <w:r>
        <w:t>a) Gemäss Art. 17 Abs. 2 Satz 3 ANAG haben ledige Kinder von Ausländern, die in der Schweiz niedergelassen sind, Anspruch auf Einbezug in die Niederlassungsbewilligung ihrer Eltern, wenn sie mit diesen zusammenwohnen und noch nicht 18 Jahre alt sind. Für die Altersfrage beim Familiennachzug gemäss Art. 17 Abs. 2 ANAG kommt es nach der Rechtsprechung auf den Zeitpunkt der Gesuchseinreichung an ( BGE 120 Ib 257 E. 1f S. 262, mit Hinweis). Der Beschwerdegegner verfügt seit dem Mai 1998 über die Niederlassungsbewilligung; das Nachzugsgesuch hat er am 3. Februar 1999 gestellt, d.h. knapp sieben Wochen vor dem 18. Geburtstag von C.________. Dieser hat demzufolge einen Anspruch auf Einbezug in die Niederlassungsbewilligung seines Vaters. b) Innerhalb der allgemeinen Schranken von Art. 17 Abs. 2 Satz 3 ANAG ist der Nachzug von gemeinsamen Kindern durch beide Elternteile zusammen grundsätzlich jederzeit zulässig; vorbehalten bleibt einzig das Rechtsmissbrauchsverbot. Je länger mit der Ausübung des Nachzugsrechtes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 ( BGE 126 II 329 E. 3b S. 333). Zu prüfen ist daher, ob die Berufung des Beschwerdegegners auf Art. 17 Abs. 2 ANAG als rechtsmissbräuchlich erscheint. Ein Rechtsmissbrauch liegt schon dann vor, wenn das Leben in der Familiengemeinschaft allenfalls eine gewisse Rolle spielen könnte, sich aber aus den Umständen ergibt, dass dieses als Motiv für die Gesuchstellung von verschwindend geringer Bedeutung ist (unveröffentlichtes Urteil vom 25. August 2000 i.S. Jenic, E. 3c).</w:t>
      </w:r>
    </w:p>
    <w:p>
      <w:r>
        <w:rPr>
          <w:b/>
        </w:rPr>
        <w:t>E. 3</w:t>
      </w:r>
    </w:p>
    <w:p>
      <w:r>
        <w:t>a) Der Beschwerdegegner begründet die Ausreise seiner Frau und des Sohnes C.________ im Sommer 1992 damit, dass sein in Jugoslawien lebender Vater krank gewesen sei und seine Frau ihn habe unterstützen müssen. Sein Vater ist am 30. Oktober 1992 gestorben; damit fiel der ursprüngliche Grund für den Aufenthalt in Jugoslawien dahin. In der Zwischenzeit schloss C.________ in seiner Heimat im September 1998 eine Lehre als Autospengler ab. Das erneute Nachzugsgesuch für seinen Sohn hat der Beschwerdegegner knapp sieben Wochen vor dessen 18. Geburtstag gestellt. b) Das Rekursgericht führt aus, wenn ein Gesuch mehr als einen Monat vor dem 18. Geburtstag des Nachzuziehenden eingereicht werde, so könne im Sinne der Rechtsmissbrauchsvermutung nicht mehr von einem Gesuch gesprochen werden, welches kurz vor Erreichen der gesetzlichen Altersgrenze eingereicht worden sei. Diese Annahme trifft offensichtlich nicht zu: Dass mit einem Gesuch vorrangig die Zusammenführung der Familie angestrebt wird, erscheint zwar umso weniger glaubwürdig, je länger mit der Ausübung des Nachzugsrechts zugewartet wurde und je näher das Alter des Kindes an der Grenze von 18 Jahren liegt (unveröffentlichtes Urteil vom 25. August 2000 i.S. Jenic, E. 3b/aa). Eine feste Alterslimite für die Vermutung eines Rechtsmissbrauchs gibt es indessen nicht; auch ein Gesuch, das zwei, drei oder sogar mehr Monate vor Erreichen des 18. Altersjahrs gestellt wurde, kann unter Umständen rechtsmissbräuchlich sein. c) Der Hauptgrund für die Trennung der Fami-lie - die Pflegebedürftigkeit des Grossvaters von C.________ - ist schon ein paar Monate nach der Ausreise von Ehefrau und Sohn des Beschwerdegegners dahingefallen. Der Beschwerdegegner hätte daher schon Ende 1992 ein erneutes Nachzugsgesuch für Frau und Kind stellen können. Es mag zwar zutreffen, dass es für den Beschwerdegegner als IV-Rentner nicht einfach gewesen wäre, eine entsprechende Wohnung zu finden; indessen ist kaum anzunehmen, dass er, hätte er sich genügend bemüht, während über sechs Jahren keine solche gefunden hätte. Es ist aus integrationspolitischer Sicht nicht erwünscht, dass Kinder (zumal solche, die bereits während einer längeren Zeit hier in die Schule gegangen sind), wesentliche Teile ihrer verbleibenden Schulzeit sowie die Lehre im Ausland absolvieren, um dann zwecks Ausübung ihres Berufes kurz vor der Altersgrenze in die Schweiz zurückzureisen. Ein solches Vorgehen entspricht nicht dem Sinn des Familiennachzugs, sofern die Möglichkeit einer früheren Einreise bestand. Dies trifft hier zu: Zwar verfügte der Beschwerdegegner vor 1998 noch nicht über die Niederlassungsbewilligung und damit nicht über einen eigentlichen Anspruch auf Familiennachzug; nachdem ihm aber der Kanton Aargau den Nachzug von Frau und Sohn schon einmal bewilligt hatte, ist doch wahrscheinlich, dass ein erneutes, bald nach dem Tod des Vaters gestelltes Gesuch bewilligt worden wäre. Das Stellen des Nachzugsgesuchs sechs Jahre nach dem Tod des Vaters des Beschwerdegegners, nach erfolgter Ausbildung von C.________ und nur ca. sieben Wochen vor dessen 18. Geburtstag lässt somit darauf schliessen, dass es dem Beschwerdegegner auch um das wirtschaftliche Fortkommen seines Sohnes gegangen ist. d) Es fragt sich, ob die Zusammenführung der Gesamtfamilie für den Beschwerdegegner - neben den wirtschaftlichen Motiven - nur von verschwindend geringer Bedeutung gewesen ist. Wäre C.________ während der sechs Jahre seines Aufenthalts in Jugoslawien (bis zur Gesuchstellung) ohne seine Eltern, z.B. unter der Obhut einer seiner beiden in Jugoslawien verbliebenen Schwestern, aufgewachsen, so hätte das erneute Nachzugsgesuch wohl als rechtsmissbräuchlich gelten müssen (vgl. unveröffentlichtes Urteil vom 25. August 2000 i.S. Jenic, E. 3b/aa, wo der Beschwerdegegner seine Tochter fast bis zum Erreichen der Volljährigkeit durch die Grosseltern in Serbien hatte erziehen lassen). Der vorliegende Fall liegt jedoch anders: die Ehefrau des Beschwerdegegners nahm im Sommer 1992 den Sohn C.________ mit in ihre Heimat, als sie die Betreuung ihres Schwiegervaters übernahm, und verzichtete in den folgenden Jahren auf einen wesentlichen Teil ihres Ehelebens, um sich der Erziehung von C.________ zu widmen; der Beschwerdegegner seinerseits besuchte die Familie zwei- bis dreimal im Jahr. Damit zeigt sich, dass das Familienleben für den Beschwerdegegner eine wichtige Rolle spielte. Bezeichnenderweise hat er das Familiennachzugsgesuch gleichzeitig für die Ehefrau und den Sohn gestellt. Es kann daher aus dem Verhalten des Beschwerdegegners nicht der Schluss gezogen werden, das Familienleben sei für ihn nur von verschwindend geringer Bedeutung. Auch aus der ausführlichen Befragung des Ehepaares durch das Rekursgericht am 2. März 2001 kann kein solcher Schluss gezogen werden. e) Es liegt damit kein Rechtsmissbrauch vor. Der angefochtene Entscheid hält daher - auch wenn die Begründung des Rekursgerichts nicht in allen Punkten überzeugt - im Ergebnis vor Bundesrecht stand.</w:t>
      </w:r>
    </w:p>
    <w:p>
      <w:r>
        <w:rPr>
          <w:b/>
        </w:rPr>
        <w:t>E. 4</w:t>
      </w:r>
    </w:p>
    <w:p>
      <w:r>
        <w:t>Die Verwaltungsgerichtsbeschwerde ist nach dem Gesagten abzuweisen. Bei diesem Verfahrensausgang sind keine Kosten zu erheben ( Art. 156 Abs. 2 OG ). Das Bundesamt für Ausländerfragen hat dem anwaltlich vertretenen Beschwerdegegner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