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2A.204/2006 vom 22. Juni 2007</w:t>
      </w:r>
    </w:p>
    <w:p>
      <w:r>
        <w:t>Bundesgericht, 2007-06-22, IT</w:t>
      </w:r>
    </w:p>
    <w:p>
      <w:r>
        <w:rPr>
          <w:b/>
        </w:rPr>
        <w:t xml:space="preserve">Quelle: </w:t>
      </w:r>
      <w:r>
        <w:t>https://mcp.opencaselaw.ch/entscheid/bger_2A.204_2006</w:t>
      </w:r>
    </w:p>
    <w:p>
      <w:r>
        <w:t>FR: TF 2A.204/2006 du 22 juin 2007</w:t>
      </w:r>
    </w:p>
    <w:p>
      <w:r>
        <w:t>IT: TF 2A.204/2006 del 22 giugno 2007</w:t>
      </w:r>
    </w:p>
    <w:p>
      <w:pPr>
        <w:pStyle w:val="Heading2"/>
      </w:pPr>
      <w:r>
        <w:t>Regeste</w:t>
      </w:r>
    </w:p>
    <w:p>
      <w:r>
        <w:t>Imposta cantonale 1993-1996, imposta federale diretta 1995/96 (imposte suppletorie e multi) | Finanze pubbliche &amp; diritto tributario</w:t>
      </w:r>
    </w:p>
    <w:p>
      <w:pPr>
        <w:pStyle w:val="Heading2"/>
      </w:pPr>
      <w:r>
        <w:t>Erwägungen</w:t>
      </w:r>
    </w:p>
    <w:p>
      <w:r>
        <w:rPr>
          <w:b/>
        </w:rPr>
        <w:t>E. 6</w:t>
      </w:r>
    </w:p>
    <w:p>
      <w:r>
        <w:t>Secondo l' art. 58 cpv. 1 LIFD , l'utile netto imponibile delle persone giuridiche è determinato in base al saldo del conto profitti e perdite, epurato dal riporto dell'anno precedente (lett. a), a cui vengono aggiunti i prelevamenti fatti prima del calcolo del saldo non destinati alla copertura di spese riconosciute dall'uso commerciale (lett. b) ed i ricavi non accreditati al conto profitti e perdite, compresi gli utili in capitale, di liquidazione e di rivalutazione (lett. c). All'utile netto imponibile appartengono in particolare anche le prestazioni che una società esegue in favore di un suo azionista, o di una persona comunque vicina, e che non sarebbero state concesse ad un terzo estraneo alla società. Secondo la giurisprudenza, si è di fronte ad una simile prestazione valutabile in denaro quando (a) la società non riceve alcuna contropartita o perlomeno non una contropartita equivalente, (b) l'azionista riceve un vantaggio che non sarebbe stato accordato alle medesime condizioni ad un terzo, per cui la prestazione risulta insolita, e (c) il carattere particolarmente vantaggioso della prestazione è riconoscibile per gli organi societari ( DTF 131 II 593 consid. 5.1; 119 Ib 116 consid. 2; 115 Ib 11 consid. 5). Quali prestazioni valutabili in denaro, qualificate pure come distribuzioni dissimulate di utili (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(Gewinnvorwegnahme; cfr. BERNARDONI/DUCHINI, La fiscalità dell'azienda, Agno 1998, pag. 385). Essa sussiste per l'appunto quando la società non rivendica alcun diritto su introiti di sua competenza, che vengono così incassati direttamente dall'azionista, rispettivamente quando quest'ultimo non fornisce la controprestazione che la società esigerebbe da un terzo (sentenza 2A.263/2003 del 19 novembre 2003, in: ASA 74 pag. 660, consid. 2.2; sentenza 2A.602/2002 del 23 luglio 2003, consid. 2, con riferimenti).</w:t>
      </w:r>
    </w:p>
    <w:p>
      <w:r>
        <w:rPr>
          <w:b/>
        </w:rPr>
        <w:t>E. 7</w:t>
      </w:r>
    </w:p>
    <w:p>
      <w:r>
        <w:t>La Corte cantonale ha ritenuto che i compensi percepiti per la cessione del brevetto del pallone aerostatico luminoso, valutati nel complesso a circa fr. 4'500'000.--, siano dei guadagni di spettanza della società ricorrente. Non contabilizzandoli, quest'ultima avrebbe quindi effettuato una distribuzione dissimulata di utili a favore del suo azionista ed amministratore unico B.________.</w:t>
      </w:r>
    </w:p>
    <w:p>
      <w:r>
        <w:rPr>
          <w:b/>
        </w:rPr>
        <w:t>E. 7.1</w:t>
      </w:r>
    </w:p>
    <w:p>
      <w:r>
        <w:t>Per stabilire se l'invenzione del pallone luminoso sia da attribuire a B.________ a titolo indipendente oppure alla società in cui egli è attivo come amministratore, l'istanza inferiore si è in primo luogo fondata sulla norma che, nel codice delle obbligazioni, disciplina i rapporti tra datore di lavoro e lavoratore. Secondo l' art. 332 CO , appartengono al datore di lavoro le invenzioni che il lavoratore ha fatto nello svolgimento della sua attività lavorativa e nell'adempimento dei suoi obblighi contrattuali (invenzioni di servizio; Aufgabenerfindung; art. 332 cpv. 1 CO ), mentre sono del lavoratore, a meno che il datore di lavoro se ne riservi l'acquisto mediante accordo scritto, le invenzioni fatte nello svolgimento dell'attività lavorativa, ma non in adempimento degli obblighi contrattuali (invenzioni casuali; Gelegenheitserfindung; art. 332 cpv. 2 CO ). Determinante, ammesso che si tratti in ogni caso di un'invenzione ottenuta nell'esercizio dell'attività professionale, è dunque sapere se tra i doveri professionali del lavoratore vi è l'obbligo di adoperarsi per la scoperta di un'invenzione. L'esistenza di tale obbligo va valutata in base all'insieme delle circostanze, segnatamente: direttive del datore di lavoro, posizione nell'azienda, risorse umane, logistiche e finanziarie a disposizione, livello salariale, grado di indipendenza nella gestione del lavoro, formazione ed esperienza, scopo della ditta (ADRIAN STAEHELIN, Zürcher Kommentar, vol. V/2c, 3a ed., Zurigo 1996, n. 8 ad art. 332; BRUNNER/ BÜHLER/WAEBER/BRUCHEZ, Kommentar zum Arbeitsvertragsrecht, 3a ed., Basilea 2005, n. 4 ad art. 332). La ricorrente contesta che l'invenzione dei palloni luminosi sia nata nell'adempimento degli obblighi contrattuali di B.________ in quanto suo dipendente, rilevando tra l'altro che egli percepiva un salario modesto. Sennonché, la posizione di controllo assoluto da parte di B.________ sulla società poteva tra l'altro anche implicare che egli si adoperasse con ogni mezzo per garantirne l'avvenire, quindi, se del caso, pure mediante la diversificazione dell'attività e la scoperta di nuovi prodotti. A prescindere da questo aspetto, l' art. 332 CO ed i relativi criteri distintivi indicati servono a dirimere eventuali vertenze tra datore di lavoro e lavoratore e presuppongono forzatamente una certa separazione dei ruoli e degli interessi tra le due parti a confronto. Nel caso concreto, vi è tuttavia un'unione personale totale tra la società ed il dipendente che, proprio per questo motivo, non sono ovviamente in litigio. In queste circostanze, il salario percepito, la definizione dei compiti contrattuali del lavoratore o le aspettative legittime del datore di lavoro non sono elementi significativi perché è in pratica il lavoratore stesso a determinarli. Manca, in altri termini, il rapporto di subordinazione caratteristico del contratto di lavoro, per cui è tra l'altro perlomeno dubbio che alla relazione contrattuale tra la ricorrente e B.________ siano applicabili gli art. 319 segg. CO ( DTF 130 III 213 consid. 2.1; 128 III 129 consid. 1a/aa; 121 I 259 consid. 3a). Ne discende che la menzionata norma di diritto privato assume, nella fattispecie, un'utilità solo relativa e non permette, da sola, di risolvere la controversia sulla titolarità del brevetto.</w:t>
      </w:r>
    </w:p>
    <w:p>
      <w:r>
        <w:rPr>
          <w:b/>
        </w:rPr>
        <w:t>E. 7.2</w:t>
      </w:r>
    </w:p>
    <w:p>
      <w:r>
        <w:t>La Corte cantonale ha altresì rilevato che l'attività legata ai palloni luminosi aerostatici ha conosciuto tre fasi distinte, ciò che la ricorrente non contesta, ma anzi mette essa stessa in evidenza. In una prima fase, l'insorgente ha funto da rappresentante per la commercializzazione dei palloni fabbricati da una ditta francese, in una seconda fase vi è stato il perfezionamento del prodotto nonché la cessione del brevetto ed in una terza fase vi sarebbe dovuto essere lo sviluppo fino alla produzione in serie e l'industrializzazione degli apparecchi illuminanti, nuovamente ad opera dell'insorgente. Considerato che la prima e la terza fase sono incontestabilmente di competenza della ricorrente, non è per nulla plausibile che la fase intermedia dell'operazione, che ne costituisce la parte rivelatasi in definitiva più lucrativa, sia da attribuire al suo amministratore unico a titolo personale. Egli ha infatti potuto sviluppare il progetto grazie all'attività di rappresentanza precedentemente assunta dalla società, cercando di porre rimedio ai difetti riscontrati nell'esercizio di tale incarico e lavorando sui palloni distribuiti dall'insorgente. Inoltre si sarebbe nuovamente avvalso della struttura societaria per la produzione e la commercializzazione del nuovo pallone. Non v'è dubbio che in una situazione normale, ossia di reale dipendenza professionale, la società avrebbe certamente rivendicato la titolarità del brevetto ed i guadagni derivanti dalla sua cessione. Al dipendente, ma anche ad un amministratore non dotato di pieno controllo sulla società, sarebbe a giusta ragione stata rimproverata la violazione dei doveri di diligenza e fedeltà (cfr. art. 321a cpv. 1 e 717 cpv. 1 CO; DTF 130 III 213 consid. 2.1).</w:t>
      </w:r>
    </w:p>
    <w:p>
      <w:r>
        <w:rPr>
          <w:b/>
        </w:rPr>
        <w:t>E. 7.3</w:t>
      </w:r>
    </w:p>
    <w:p>
      <w:r>
        <w:t>Certo, B.________ ha depositato sin dal 1972 una ventina di brevetti d'invenzione a proprio nome. Egli ha quindi sempre avuto un'importante attività collaterale accanto a quella professionale, incentrata sul risanamento di cisterne contenenti idrocarburi. Anche per il pallone aerostatico contenente gas inerte il brevetto è inoltre stato registrato a titolo personale e non a nome della società. L'invenzione in esame, a differenza delle precedenti (legate, ad esempio, al settore delle competizioni automobilistiche, a quello nautico o ancora a quello degli elettrodomestici), presenta tuttavia una connessione molto stretta con l'attività, nel frattempo diversificata, svolta dalla società. È vero che anche ad un azionista e amministratore unico deve essere riconosciuta una sfera di azione privata, che esula dal contesto della società controllata. Nel caso specifico, l'elemento di continuità con l'attività aziendale appare tuttavia determinante e prevalente rispetto alla titolarità formale del brevetto.</w:t>
      </w:r>
    </w:p>
    <w:p>
      <w:r>
        <w:rPr>
          <w:b/>
        </w:rPr>
        <w:t>E. 7.4</w:t>
      </w:r>
    </w:p>
    <w:p>
      <w:r>
        <w:t>L'istanza precedente ha ravvisato un ulteriore aspetto significativo nell'assunzione dei costi per la registrazione del brevetto. Secondo i suoi accertamenti, il deposito del brevetto, in Svizzera e all'estero, ha comportato una spesa complessiva di fr. 67'470.50, pagata in ragione di circa fr. 13'000.-- da B.________ personalmente, mentre per il resto messa a carico della società. Questa partecipazione ai costi ampiamente maggioritaria della ricorrente non può essere considerata una semplice imprecisione contabile, già perché ad una simile giustificazione appare semmai possibile appellarsi quando vengono omessi determinati oneri e non tanto quando vengono contabilizzati. In realtà, l'assunzione delle spese risulta effettivamente un elemento oggettivo importante per attribuire la titolarità del brevetto alla società. È infatti del tutto logico che chi sopporta i costi per lo sviluppo e la registrazione di un prodotto ne tragga poi anche gli eventuali benefici. Su questo punto, la ricorrente accenna peraltro ad un critica solo tardivamente, in sede di replica. Essa rinvia ad una sua presa di posizione in una precedente sede processuale e ad alcuni documenti prodotti, in particolare ad una tavola sinottica sui flussi finanziari tra di essa ed il suo amministratore. Questi generici rinvii non bastano certo per dimostrare la manifesta inesattezza, ai sensi dell' art. 105 cpv. 2 OG , del puntuale accertamento contabile operato dai giudici cantonali. A tale scopo, essa avrebbe dovuto quantificare i costi a suo giudizio sostenuti per la registrazione del brevetto e la quota da essa eventualmente assunta, indicando con precisione le prove che confermerebbero tale versione. In effetti, l'accertamento di un fatto è manifestamente inesatto solo se è evidente ed inequivocabile ( DTF 132 I 42 consid. 3.1), ciò che la parte ricorrente, indipendentemente dall'esame d'ufficio operato dal Tribunale federale ( DTF 132 I 42 consid. 3.1), deve allegare in maniera circostanziata. Il Tribunale federale non ricerca infatti esso stesso se negli atti si trovano eventuali elementi suscettibili di far apparire errate le constatazioni operate dall'istanza giudiziaria precedente (sentenza 2A.526/2006 del 6 marzo 2007, consid. 6.2).</w:t>
      </w:r>
    </w:p>
    <w:p>
      <w:r>
        <w:rPr>
          <w:b/>
        </w:rPr>
        <w:t>E. 7.5</w:t>
      </w:r>
    </w:p>
    <w:p>
      <w:r>
        <w:t>Queste considerazioni sul carattere di principio vincolante dei fatti accertati dai giudici cantonali inducono, più in generale, a non approfondire ulteriormente l'esame della questione litigiosa. L'atto di ricorso consiste infatti sostanzialmente in una "ricostruzione dei fatti" (come indica il titolo di un suo capitolo) in cui la ricorrente espone un lungo istoriato della vicenda legata ai palloni luminosi, senza tuttavia indicare in maniera sufficientemente precisa che taluni dati di fatto o elementi di prova determinanti non sono stati presi in considerazione e ciò manifestamente a torto. In assenza di contestazioni puntuali, non compete al Tribunale federale, che non è un'autorità di tassazione di prima istanza, rivedere in maniera completa e dettagliata il voluminoso fascicolo processuale per reperire possibili indizi a sostegno della tesi ricorsuale, non ritenuti dalla Corte cantonale.</w:t>
      </w:r>
    </w:p>
    <w:p>
      <w:r>
        <w:rPr>
          <w:b/>
        </w:rPr>
        <w:t>E. 7.6</w:t>
      </w:r>
    </w:p>
    <w:p>
      <w:r>
        <w:t>Sulla base delle considerazioni esposte, computando i guadagni derivanti dall'invenzione alla società ricorrente, la Camera di diritto tributario non ha pertanto violato il diritto federale. D'altronde, l'insorgente non ha mai sostenuto che l'onere fiscale per la cessione del brevetto sia stato in qualche modo assunto personalmente dal suo amministratore unico. Al contrario, la complessa struttura societaria utilizzata, con la costituzione di diverse società off-shore, lascia piuttosto intendere che lo scopo perseguito era quello di sottrarre gli ingenti guadagni a qualsiasi forma di imposizione.</w:t>
      </w:r>
    </w:p>
    <w:p>
      <w:r>
        <w:rPr>
          <w:b/>
        </w:rPr>
        <w:t>E. 8</w:t>
      </w:r>
    </w:p>
    <w:p>
      <w:r>
        <w:t>Oltre all'esistenza dei presupposti per un recupero d'imposta e alla titolarità del brevetto, la ricorrente non solleva ulteriori contestazioni. In particolare, essa non critica nel merito le altre riprese, né lo ha fatto dinanzi alla Corte cantonale, spiegando ad esempio perché i conteggi e le valutazioni sui lavori di segretariato, gli affitti o l'uso della vettura per scopi privati siano concretamente insostenibili. In queste circostanze, il ricorso di diritto amministrativo concernente l'imposta federale diretta per gli anni 1995 e 1996, nella misura in cui è ammissibile, deve essere respinto. II. Ricorso di diritto pubblico</w:t>
      </w:r>
    </w:p>
    <w:p>
      <w:r>
        <w:rPr>
          <w:b/>
        </w:rPr>
        <w:t>E. 9.1</w:t>
      </w:r>
    </w:p>
    <w:p>
      <w:r>
        <w:t>In riferimento al ricupero d'imposta e alla multa relative all'imposta cantonale e comunale per gli anni fiscali dal 1993 al 1996, la sentenza impugnata costituisce una decisione di ultima istanza cantonale contro cui a livello federale non è (ancora) dato alcun rimedio giuridico all'infuori del ricorso di diritto pubblico ai sensi degli art. 84 segg. OG (cfr. consid. 1.4). Il gravame è dunque di massima ricevibile in questa forma, ritenuto peraltro che la ricorrente dispone pacificamente della potestà ricorsuale ( art. 88 OG ).</w:t>
      </w:r>
    </w:p>
    <w:p>
      <w:r>
        <w:rPr>
          <w:b/>
        </w:rPr>
        <w:t>E. 9.2</w:t>
      </w:r>
    </w:p>
    <w:p>
      <w:r>
        <w:t>Secondo l' art. 90 cpv. 1 lett. b OG , l'atto di ricorso deve contenere l'esposizione dei fatti essenziali e quella concisa dei diritti costituzionali o delle norme giuridiche che si pretendono violati, specificando in cosa consista la violazione. Nell'ambito di un ricorso di diritto pubblico, il Tribunale federale non verifica quindi d'ufficio la costituzionalità del provvedimento contestato, ma statuisce unicamente sulle censure sollevate dall'insorgente e solo se le stesse sono sufficientemente sostanziate ( DTF 130 I 258 consid. 1.3, 26 consid. 2.1; 129 I 185 consid. 1.6, 113 consid. 2.1). In particolare, quando è in discussione la violazione del divieto d'arbitrio ( art. 9 Cost. ), il ricorrente non può limitarsi a criticare la decisione impugnata in forma appellatoria, ma deve illustrare in maniera precisa e dettagliata quali norme o principi giuridici l'autorità cantonale avrebbe violato in modo addirittura manifestamente insostenibile e perciò arbitrario ( DTF 128 I 295 consid. 7a; 125 I 492 consid. 1b; 117 Ia 10 consid. 4b). Sotto questo profilo il gravame, non presentato come ricorso di diritto pubblico e non teso a dimostrare la manifesta insostenibilità, ma semmai solo l'irregolarità del giudizio impugnato, risulta per larghi tratti inammissibile. La questione può comunque rimanere aperta.</w:t>
      </w:r>
    </w:p>
    <w:p>
      <w:r>
        <w:rPr>
          <w:b/>
        </w:rPr>
        <w:t>E. 10</w:t>
      </w:r>
    </w:p>
    <w:p>
      <w:r>
        <w:t>In effetti, per quanto concerne le condizioni a cui soggiace il ricupero d'imposta, i doveri del contribuente e dell'autorità fiscale nell'allestimento, rispettivamente la verifica della dichiarazione d'imposta nonché la determinazione dell'utile netto delle persone giuridiche, la normativa cantonale ticinese coincide sostanzialmente con il regime in materia di imposta federale diretta (cfr. gli art. 67 cpv. 1, 196, 200 cpv. 1, 204 cpv. 1 e 236 della legge tributaria ticinese del 21 giugno 1994 [LT]). È quindi evidente che se il Tribunale federale conferma la possibilità di operare un ricupero d'imposta e l'esistenza di una distribuzione dissimulata di utili quando, decidendo in materia di imposta federale diretta, fruisce di libero potere d'esame, a maggior ragione non sovverte tali deduzioni quando, statuendo in merito all'imposta cantonale, il suo potere cognitivo è limitato al controllo dell'arbitrio. D'altronde la conclusione non muterebbe nemmeno se si volesse ammettere che l'indicazione dei rimedi di diritto contenuta nel dispositivo della sentenza contestata (cfr. consid. 1.4) imponga esigenze meno rigorose quanto alla motivazione del gravame o l'uso di un potere cognitivo analogo a quello valido nell'ambito dei ricorsi secondo l' art. 73 LAID (sul potere cognitivo cfr. DTF 131 II 710 consid. 1.2; 130 II 202 consid. 3.1).</w:t>
      </w:r>
    </w:p>
    <w:p>
      <w:r>
        <w:rPr>
          <w:b/>
        </w:rPr>
        <w:t>E. 11</w:t>
      </w:r>
    </w:p>
    <w:p>
      <w:r>
        <w:t>Ne segue pertanto che anche per le imposte cantonali e comunali l'impugnativa, da trattare quale ricorso di diritto pubblico, deve essere respinta, nella misura in cui è ricevibile. III. Spese e ripetibili</w:t>
      </w:r>
    </w:p>
    <w:p>
      <w:r>
        <w:rPr>
          <w:b/>
        </w:rPr>
        <w:t>E. 12</w:t>
      </w:r>
    </w:p>
    <w:p>
      <w:r>
        <w:t>Le spese giudiziarie vanno poste a carico della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