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2A.203/2006 vom 17. Oktober 2007</w:t>
      </w:r>
    </w:p>
    <w:p>
      <w:r>
        <w:t>Bundesgericht, 2007-10-17, DE</w:t>
      </w:r>
    </w:p>
    <w:p>
      <w:r>
        <w:rPr>
          <w:b/>
        </w:rPr>
        <w:t xml:space="preserve">Quelle: </w:t>
      </w:r>
      <w:r>
        <w:t>https://mcp.opencaselaw.ch/entscheid/bger_2A.203_2006</w:t>
      </w:r>
    </w:p>
    <w:p>
      <w:r>
        <w:t>FR: TF 2A.203/2006 du 17 octobre 2007</w:t>
      </w:r>
    </w:p>
    <w:p>
      <w:r>
        <w:t>IT: TF 2A.203/2006 del 17 ottobre 2007</w:t>
      </w:r>
    </w:p>
    <w:p>
      <w:pPr>
        <w:pStyle w:val="Heading2"/>
      </w:pPr>
      <w:r>
        <w:t>Regeste</w:t>
      </w:r>
    </w:p>
    <w:p>
      <w:r>
        <w:t>Einschätzung 2001 (Direkte Bundessteuer) | Öffentliche Finanzen &amp; Abgaberecht</w:t>
      </w:r>
    </w:p>
    <w:p>
      <w:pPr>
        <w:pStyle w:val="Heading2"/>
      </w:pPr>
      <w:r>
        <w:t>Erwägungen</w:t>
      </w:r>
    </w:p>
    <w:p>
      <w:r>
        <w:rPr>
          <w:b/>
        </w:rPr>
        <w:t>E. 1</w:t>
      </w:r>
    </w:p>
    <w:p>
      <w:r>
        <w:t>Das angefochtene Urteil des Verwaltungsgerichts des Kantons Zürich erging am 1. März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132 I 140 E. 1.1 S. 142; 131 II 58 E. 1 S. 60, je mit Hinweisen).</w:t>
      </w:r>
    </w:p>
    <w:p>
      <w:r>
        <w:rPr>
          <w:b/>
        </w:rPr>
        <w:t>E. 2.1</w:t>
      </w:r>
    </w:p>
    <w:p>
      <w:r>
        <w:t>Das angefochtene Urteil des Verwaltungsgerichts des Kantons Zürich unterliegt der Verwaltungsgerichtsbeschwerde an das Bundesgericht (Art. 146 des Bundesgesetzes vom 14. Dezember 1990 über die direkte Bundessteuer, DBG; SR 642.11; Art. 97 ff. OG ). Auf die frist- und formgerecht eingereichte Beschwerde der gemäss Art. 103 lit. a OG legitimierten Beschwerdeführer ist grundsätzlich einzutreten. (Ihren Publikationsanliegen ist dadurch Rechnung getragen, dass Bundesgerichtsurteile in Steuersachen grundsätzlich ohnehin nur in anonymisierter Form veröffentlicht werden.)</w:t>
      </w:r>
    </w:p>
    <w:p>
      <w:r>
        <w:rPr>
          <w:b/>
        </w:rPr>
        <w:t>E. 2.2</w:t>
      </w:r>
    </w:p>
    <w:p>
      <w:r>
        <w:t>Mit der Verwaltungsgerichtsbeschwerde können die Beschwerdeführer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 Das Bundesgericht wendet im verwaltungsgerichtlichen Beschwerdeverfahren das Bundesrecht von Amtes wegen an, ohne an die von den Parteien vorgebrachten Begründungen oder an die Erwägungen der Vorinstanz gebunden zu sein (Art. 114 Abs. 1 zweiter Halbsatz OG). Es kann die Beschwerde auch aus anderen als den geltend gemachten Gründen gutheissen oder abweisen ( BGE 132 II 47 E. 1.3 S. 50).</w:t>
      </w:r>
    </w:p>
    <w:p>
      <w:r>
        <w:rPr>
          <w:b/>
        </w:rPr>
        <w:t>E. 3</w:t>
      </w:r>
    </w:p>
    <w:p>
      <w:r>
        <w:t>Umstritten ist, ob mit der Rückzahlung der 3 1/2 %-Anleihe der Roche Holdings, Inc., am 16. Mai 2001 - neben dem laufenden Jahreszins - ein steuerbarer Vermögensertrag in Form einer Einmalentschädigung angefallen ist. Die Steuerbehörden haben das bejaht und die Differenz zwischen dem Ausgabewert der Obligation (ohne Option) und dem Rückzahlungswert als steuerbares Emissionsdisagio erfasst. Die Beschwerdeführer stellen sich demgegenüber auf den Standpunkt, weil die Option schon am 16. Mai 1994 verfallen sei, hätten sie (bzw. ihre Rechtsvorgängerin) im Jahr 1998 Obligationen ohne Option erworben, und zwar zu Marktkonditionen. Es sei deshalb nicht zulässig, den seinerzeitigen Wert der Option vom Ausgabewert der Obligation abzuziehen und so im Ergebnis ein "fiktives Einkommen" zu besteuern.</w:t>
      </w:r>
    </w:p>
    <w:p>
      <w:r>
        <w:rPr>
          <w:b/>
        </w:rPr>
        <w:t>E. 3.1</w:t>
      </w:r>
    </w:p>
    <w:p>
      <w:r>
        <w:t>Die Erträge aus beweglichem Vermögen, insbesondere Zinsen aus Guthaben, sind steuerbar ( Art. 20 Abs. 1 lit. a DBG ). Zinsen stellen das Entgelt für die Überlassung des Kapitals dar. Zu den Zinsen eines Guthabens gehören sämtliche geldwerten Leistungen des Schuldners an den Gläubiger (sog. subjektives Herkunftsprinzip), soweit sie nicht zur Tilgung der Kapitalschuld führen (vgl. Peter Locher, Kommentar zum DBG, Therwil/Basel 2001, Rz. 6. f. zu Art. 20). Unerheblich ist, ob diese Leistung periodisch oder in Form einer Einmalentschädigung entrichtet wird. Entsprechend unterliegen auch ein Emissionsdisagio (Differenz zwischen dem Begebungskurs und dem Rückzahlungsbetrag) und ein Rückzahlungsagio (Differenz zwischen Nennwert und höherem Auszahlungsbetrag) der Besteuerung nach Art. 20 Abs. 1 lit. a DBG , und zwar am Ende der Laufzeit (Locher, a.a.O., Rz. 21 ff. und Rz. 37 f. zu Art. 20 DBG ; Markus Reich, Kommentar zum Schweizerischen Steuerrecht, I/2a, Bundesgesetz über die direkte Bundessteuer [DBG], Basel/Genf/München 2000, N 14 zu Art. 20; in diesem Sinn - zu Art. 21 Abs. 1 lit. c BdBSt - schon das Kreisschreiben vom 16. Juli 1982 der Eidgenössischen Steuerverwaltung betreffend Obligationen mit Einmalverzinsung, in: ASA 51, 210 ff.).</w:t>
      </w:r>
    </w:p>
    <w:p>
      <w:r>
        <w:rPr>
          <w:b/>
        </w:rPr>
        <w:t>E. 3.2</w:t>
      </w:r>
    </w:p>
    <w:p>
      <w:r>
        <w:t>Steuerbar sind insbesondere auch Einkünfte aus der Veräusserung oder Rückzahlung von Obligationen mit überwiegender Einmalverzinsung (globalverzinsliche Obligationen, Diskont-Obligationen), die dem Inhaber anfallen ( Art. 20 Abs. 1 lit. b DBG ). Als überwiegend einmalverzinslich gilt eine Option, bei welcher der überwiegende Teil des gesamten Nutzungsentgelts im Emissionszeitpunkt auf dem Emissionsdisagio oder dem Rückzahlungsagio beruht (Kreisschreiben Nr. 4 vom 12. April 1999 der Eidgenössischen Steuerverwaltung, "Obligationen und derivative Finanzinstrumente als Gegenstand der direkten Bundessteuer, der Verrechnungssteuer sowie der Stempelabgaben", in: ASA 68, 21 ff., insbesondere S. 24 Ziff. 2.1.4). Demgegenüber haben bei Obligationen mit nicht überwiegender Einmalverzinsung allfällige Käufe oder Verkäufe während der Laufzeit keinen Einfluss auf die Höhe des bei der Rückzahlung der Kapitalschuld steuerbaren Vermögensertrags (so schon Kreisschreiben vom 16. Juli 1982, a.a.O., S. 212).</w:t>
      </w:r>
    </w:p>
    <w:p>
      <w:r>
        <w:rPr>
          <w:b/>
        </w:rPr>
        <w:t>E. 3.3</w:t>
      </w:r>
    </w:p>
    <w:p>
      <w:r>
        <w:t>Optionsanleihen sind eine besondere Art von Obligationen: Zum festverzinslichen Wertpapier (Obligation, "Bond") gehört ein separat handelbarer Optionsschein ("Warrant"), der dem Inhaber ein Recht zum Bezug bestimmter Vermögensrechte (z.B. Bezug des Basiswertes; Bar-Anspruch ["Money back"]) einräumt. Zu unterscheiden ist zwischen der klassischen und der nicht klassischen Optionsanleihe: Um eine klassische Optionsanleihe handelt es sich, wenn das Optionsrecht auf den Bezug von neu geschaffenen Beteiligungsrechten der die Anleihe emittierenden schweizerischen Gesellschaft oder einer dieser nahestehenden Gesellschaft lautet und das Emissionsdisagio oder das Rückzahlungsagio 1/2 % pro Jahr nicht übersteigt. In allen anderen Fällen liegt eine so genannte nicht klassische Optionsanleihe vor (vgl. Kreisschreiben Nr. 4 vom 12. April 1999, a.a.O., S. 27 Ziff. 2.3.2). Für die Besteuerung von nicht klassischen Optionsanleihen, bei denen sich bei Emission separate Werte von Obligation und Optionsrecht feststellen und berechnen lassen, gelten nach der Praxis folgende Grundsätze: Zu unterscheiden ist zwischen Anlage- und Optionsgeschäft. Der Obligationenteil wird beim Investor nach den für Diskontpapiere geltenden Regeln besteuert. Bei Produkten ohne überwiegende Einmalverzinsung werden Zinsen in periodischer Form nach dem allgemeinen Fälligkeitsprinzip, Einmalentschädigungen erst im Zeitpunkt der Rückzahlung als Vermögensertrag besteuert. Dabei bildet bei Produkten, bei denen die einzelnen Komponenten separat handelbar sind und ein Handel tatsächlich stattfindet (sog. "transparente" Produkte), der erste Schlusskurs der Obligation ohne Optionsschein (Börsennotierung: "ex-Option") den Emissionspreis (Kreisschreiben Nr. 4 vom 12. April 1999, a.a.O., S. 29 Ziff. 3.1, S. 32 f. Ziff. 3.4 und Ziff. 3.4.1; vgl. auch Jeck, a.a.O., S. 188; Mühlemann/Müller, a.a.O., S. 212 und S. 215; vgl. ab 1. Januar 2007 auch Kreisschreiben Nr. 15 vom 7. Februar 2007 der Eidgenössischen Steuerverwaltung, "Obligationen und derivative Finanzinstrumente als Gegenstand der direkten Bundessteuer, der Verrechnungssteuer sowie der Stempelabgaben", in: ASA 75, 636 ff.).</w:t>
      </w:r>
    </w:p>
    <w:p>
      <w:r>
        <w:rPr>
          <w:b/>
        </w:rPr>
        <w:t>E. 4.1</w:t>
      </w:r>
    </w:p>
    <w:p>
      <w:r>
        <w:t>Die von der Roche Holdings, Inc., am 16. Mai 1991 ausgegebene 3 1/2 %-Anleihe war offensichtlich eine Optionsanleihe, gehörte doch zum festverzinslichen Wertpapier ein separat handelbarer Optionsschein ("Warrant"). Und zwar handelte es sich um eine nicht klassische Optionsanleihe, weil nicht eine schweizerische Gesellschaft Emittentin war, die Option nicht nur zum Bezug von Aktien der emittierenden Gesellschaft, sondern je nach Kursentwicklung zu einer Barauszahlung berechtigte, und weil zudem die Diskontkomponente (hier: das Emissionsdisagio) die Toleranzmarge von 1/2 % pro Jahr überschritt. Da klar zwischen Anlage- und Optionsgeschäft unterschieden werden konnte, handelte es sich ferner um ein transparentes Produkt, und zwar um ein solches ohne überwiegende Einmalverzinsung, denn der periodische Zins von 3 1/2 % machte mehr als die Hälfte der Gesamtrendite des Obligationenteils aus. Soweit die Beschwerdeführer dies bestreiten und von einem "intransparenten" Produkt ausgehen, unterliegen sie einer ungenauen Lesart des einschlägigen Kreisschreibens Nr. 4 vom 12. April 1999 (vgl. auch die etwas ausführlichere Umschreibung eines transparenten Produkts im Kreisschreiben Nr. 15 vom 7. Februar 2007, a.a.O., S. 646 ff. Ziff. 3.4). Nach der oben dargestellten Rechtslage und Praxis fällt die fragliche Optionsanleihe somit in den Anwendungsbereich von Art. 20 Abs. 1 lit. a DBG und nicht unter lit. b dieses Artikels. Demnach bildeten der am 16. Mai 2001 letztmals fällig gewordene Jahreszins sowie die Einmalentschädigung (Emissionsdisagio als Differenz zwischen Ausgabewert ex-Option und Rückzahlungswert) am Ende der Laufzeit steuerbaren Vermögensertrag. Dessen Höhe konnte durch allfällige Käufe oder Verkäufe während der Laufzeit - die Beschwerdeführer bzw. ihre Rechtsvorgängerin etwa hatten ihren Anteil am 21. September 1998 zum Kurs von 96.65 % gekauft - nicht beeinflusst werden (vgl. oben E. 3.2). Insofern ist deshalb unerheblich, welche Wertveränderungen die Obligation einerseits und die Option anderseits während ihren jeweiligen Laufzeiten verzeichneten, ob und gegebenenfalls in welcher Form die Option ausgeübt wurde (Roche-Aktie oder Bar-Auszahlung) und ob sie dannzumal besteuert wurde oder nicht.</w:t>
      </w:r>
    </w:p>
    <w:p>
      <w:r>
        <w:rPr>
          <w:b/>
        </w:rPr>
        <w:t>E. 4.2</w:t>
      </w:r>
    </w:p>
    <w:p>
      <w:r>
        <w:t>Für die Berechnung des steuerbaren Emissionsdisagios hat die Steuerrekurskommission II auf den am Ausgabetag tatsächlich gehandelten Kurs von 64.25 % abgestellt und - dem Disagio von 35.75 % entsprechend - ein bei den Beschwerdeführern steuerbares Betreffnis von Fr. 30'957.-- ermittelt. Die Vorinstanz hat dieses Vorgehen mit zutreffender Begründung geschützt und im angefochtenen Entscheid insbesondere auch zur Kritik der Beschwerdeführer Stellung genommen. Die Rüge, die Vorinstanz habe "ohne Begründung den für die Beschwerdeführer ungünstigeren Kurs akzeptiert" und dadurch deren Anspruch auf rechtliches Gehör verletzt, wird bereits durch die Akten widerlegt. Das Gleiche gilt im Übrigen für die in anderem Zusammenhang geäusserte Kritik, die Vorinstanz habe ihren Entscheid nicht oder ungenügend begründet. In Wirklichkeit richten sich die Einwendungen der Beschwerdeführer denn auch gegen die grundsätzliche Besteuerung des Emissionsdisagios als solche.</w:t>
      </w:r>
    </w:p>
    <w:p>
      <w:r>
        <w:rPr>
          <w:b/>
        </w:rPr>
        <w:t>E. 4.3</w:t>
      </w:r>
    </w:p>
    <w:p>
      <w:r>
        <w:t>Die Besteuerung des Emissionsdisagios im Rückzahlungszeitpunkt ist auf den Normfall zugeschnitten, wo der private Ersterwerber einer Optionsanleihe diese bis zur Rückzahlung behält. Im vorliegenden Fall führt die Anwendung der so genannten "Diskonttheorie", wie aufgezeigt, jedoch dazu, dass die Beschwerdeführer als Letzterwerber der Diskontobligation einen höheren Vermögensertrag versteuern müssen, als sie tatsächlich erzielt haben. Dieses Ergebnis vermag unter dem Gesichtspunkt der wirtschaftlichen Leistungsfähigkeit nicht ganz zu befriedigen, was schon von der Steuerrekurskommission II und auch von der Vorinstanz ausdrücklich vermerkt wurde. Eine verfassungsrechtlich relevante Verletzung von Art. 127 Abs. 2 BV (Grundsatz der Besteuerung nach der wirtschaftlichen Leistungsfähigkeit) oder gar von Art. 26 BV (Eigentumsgarantie) kann darin jedoch - entgegen den Rügen der Beschwerdeführer - nicht erblickt werden. Das Ergebnis ist als Konsequenz der gesetzlichen Regelung hinzunehmen, die einerseits in Art. 20 DBG verbindlich definiert, was als steuerbarer Vermögensertrag zu gelten hat, und anderseits Kapitalgewinne aus der Veräusserung von Privatvermögen für steuerfrei erklärt ( Art. 16 Abs. 3 DBG ). Ob sich nach der in Art. 20 Abs. 1 lit. b DBG vorgesehenen Differenzbesteuerungsmethode womöglich ein sachlich befriedigenderes und für die Beschwerdeführer steuerlich günstigeres Resultat ergeben würde, ist nicht zu prüfen, weil diese (spezielle) Bestimmung nach ihrem Wortlaut ausschliesslich auf überwiegend einmalverzinsliche Obligationen anwendbar ist; an dieser Voraussetzung fehlt es hier. Im Übrigen müsste für einen aussagekräftigen Vergleich mitberücksichtigt werden, dass im Fall von Art. 20 Abs. 1 lit. b DBG die Einkünfte auch aus der Veräusserung und nicht nur aus der Rückzahlung entsprechender Obligationen steuerbar sind.</w:t>
      </w:r>
    </w:p>
    <w:p>
      <w:r>
        <w:rPr>
          <w:b/>
        </w:rPr>
        <w:t>E. 5</w:t>
      </w:r>
    </w:p>
    <w:p>
      <w:r>
        <w:t>Nach dem Gesagten erweist sich der angefochtene Entscheid als bundesrechtskonform, die Verwaltungsgerichtsbeschwerde ist deshalb abzuweisen. Bei diesem Ausgang des Verfahrens haben die Beschwerdeführer die bundesgerichtlichen Kosten zu tragen (Art. 156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