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2A.201/2003 vom 8. Mai 2003</w:t>
      </w:r>
    </w:p>
    <w:p>
      <w:r>
        <w:t>Bundesgericht, 2003-05-08, DE</w:t>
      </w:r>
    </w:p>
    <w:p>
      <w:r>
        <w:rPr>
          <w:b/>
        </w:rPr>
        <w:t xml:space="preserve">Quelle: </w:t>
      </w:r>
      <w:r>
        <w:t>https://mcp.opencaselaw.ch/entscheid/bger_2A.201_2003</w:t>
      </w:r>
    </w:p>
    <w:p>
      <w:r>
        <w:t>FR: TF 2A.201/2003 du 8 mai 2003</w:t>
      </w:r>
    </w:p>
    <w:p>
      <w:r>
        <w:t>IT: TF 2A.201/2003 del 8 maggio 2003</w:t>
      </w:r>
    </w:p>
    <w:p>
      <w:pPr>
        <w:pStyle w:val="Heading2"/>
      </w:pPr>
      <w:r>
        <w:t>Regeste</w:t>
      </w:r>
    </w:p>
    <w:p>
      <w:r>
        <w:t>Bürgerrecht und Ausländerrecht</w:t>
      </w:r>
    </w:p>
    <w:p>
      <w:pPr>
        <w:pStyle w:val="Heading2"/>
      </w:pPr>
      <w:r>
        <w:t>Erwägungen</w:t>
      </w:r>
    </w:p>
    <w:p>
      <w:r>
        <w:rPr>
          <w:b/>
        </w:rPr>
        <w:t>E. 1</w:t>
      </w:r>
    </w:p>
    <w:p>
      <w:r>
        <w:t>Die Verwaltungsrekurskommission des Kantons St. Gallen (Zwangsmassnahmen im Ausländerrecht) bestätigte am 17. April 2003 die gegen den aus Gambia stammenden X.________ (geb. 1978) angeordnete Ausschaffungshaft bis zum 13. Juli 2003. Hiergegen ist dieser mit dem sinngemässen Antrag an das Bundesgericht gelangt, ihn aus der Haft zu entlassen.</w:t>
      </w:r>
    </w:p>
    <w:p>
      <w:r>
        <w:rPr>
          <w:b/>
        </w:rPr>
        <w:t>E. 2</w:t>
      </w:r>
    </w:p>
    <w:p>
      <w:r>
        <w:t>Seine Eingabe erweist sich, soweit darin der Haftentscheid überhaupt sachbezogen angefochten wird (vgl. Art. 108 Abs. 2 OG ; BGE 118 Ib 134 ff.), als offensichtlich unbegründet und kann ohne Weiterungen im vereinfachten Verfahren nach Art. 36a OG erledigt werden: Das Bundesamt für Flüchtlinge hat den Beschwerdeführer am 29. Mai 2002 aus der Schweiz weggewiesen. Im Vorfeld dieses Entscheids ist er wiederholt in der Drogenszene angehalten und im Anschluss hieran wegen mehrfacher Widerhandlung gegen das Betäubungsmittelgesetz verurteilt worden. Den Asyl- und Fremdenpolizeibehörden gegenüber hat der Beschwerdeführer behauptet, aus Sierra Leone zu kommen, obwohl aufgrund einer Sprachanalyse als erstellt gelten kann, dass er aus Gambia stammt; inzwischen ist ihm denn auch ein entsprechender Laissez-Passer ausgestellt worden. Am 14. April 2003 vereitelte der Beschwerdeführer die für ihn auf den Zeitpunkt seiner bedingten Entlassung aus dem Strafvollzug vorgesehene Ausschaffung, indem er sich weigerte, in das Flugzeug zu steigen, und sich renitent verhielt. Im Übrigen hat er trotz abgeschlossenem Asylverfahren wiederholt erklärt, auf keinen Fall nach Gambia reisen zu wollen. Damit besteht bei ihm "Untertauchensgefahr" im Sinne der Rechtsprechung zu Art. 13b Abs. 1 lit. c ANAG ( BGE 125 II 369 E. 3b/aa S. 375; 122 II 49 E. 2a S. 51). Da auch alle anderen Haftvoraussetzungen gegeben sind - insbesondere nicht gesagt werden kann, dass sich in absehbarer Zeit keine weitere begleitete Ausschaffung, allenfalls im Rahmen eines Sonderfluges, organisieren liesse bzw. das Ausländeramt sich nicht mit dem nötigen Nachdruck um den Vollzug der Wegweisung bemühen würde ( BGE 125 II 217 E. 2 S. 220; 124 II 49 ff.) -, ist die Ausschaffungshaft zu Recht genehmigt worden. Soweit der Beschwerdeführer einwendet, er sei "unschuldig" ("not guilty"), verkennt er, dass die Ausschaffungshaft kein strafrechtlich relevantes Verhalten sanktioniert, sondern eine Administrativmassnahme zur Sicherung des Vollzugs der durch sein Verhalten gefährdeten Ausschaffung darstellt. Für alles Weitere kann auf die zutreffenden Ausführungen im angefochtenen Entscheid verwiesen werden ( Art. 36a Abs. 3 OG ).</w:t>
      </w:r>
    </w:p>
    <w:p>
      <w:r>
        <w:rPr>
          <w:b/>
        </w:rPr>
        <w:t>E. 3</w:t>
      </w:r>
    </w:p>
    <w:p>
      <w:r>
        <w:t>Dem Ausgang des Verfahrens entsprechend würde der unterliegende Beschwerdeführer kostenpflichtig ( Art. 156 Abs. 1 OG ). Es rechtfertigt sich indessen, von der Erhebung einer Gerichtsgebühr abzusehen (vgl. Art. 154 und Art. 153a Abs. 1 OG ). Das Ausländeramt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