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2A.1/2006 vom 26. Januar 2006</w:t>
      </w:r>
    </w:p>
    <w:p>
      <w:r>
        <w:t>Bundesgericht, 2006-01-26, DE</w:t>
      </w:r>
    </w:p>
    <w:p>
      <w:r>
        <w:rPr>
          <w:b/>
        </w:rPr>
        <w:t xml:space="preserve">Quelle: </w:t>
      </w:r>
      <w:r>
        <w:t>https://mcp.opencaselaw.ch/entscheid/bger_2A.1_2006</w:t>
      </w:r>
    </w:p>
    <w:p>
      <w:r>
        <w:t>FR: TF 2A.1/2006 du 26 janvier 2006</w:t>
      </w:r>
    </w:p>
    <w:p>
      <w:r>
        <w:t>IT: TF 2A.1/2006 del 26 gennaio 2006</w:t>
      </w:r>
    </w:p>
    <w:p>
      <w:pPr>
        <w:pStyle w:val="Heading2"/>
      </w:pPr>
      <w:r>
        <w:t>Regeste</w:t>
      </w:r>
    </w:p>
    <w:p>
      <w:r>
        <w:t>Ausweisung | 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1 E. 1a S. 2).</w:t>
      </w:r>
    </w:p>
    <w:p>
      <w:r>
        <w:rPr>
          <w:b/>
        </w:rPr>
        <w:t>E. 1.2</w:t>
      </w:r>
    </w:p>
    <w:p>
      <w:r>
        <w:t>Gegenstand des vorliegenden Verfahrens ist einzig die Ausweisung. Soweit die Beschwerdeführerin für sich und ihre Kinder die Erteilung einer Aufenthaltsbewilligung verlangt, kann daher auf die Beschwerde nicht eingetreten werden.</w:t>
      </w:r>
    </w:p>
    <w:p>
      <w:r>
        <w:rPr>
          <w:b/>
        </w:rPr>
        <w:t>E. 1.3</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Möglichkeit, vor Bundesgericht neue Tatsachen vorzubringen und Beweismittel einzureichen, weitgehend eingeschränkt. Das Bundesgericht lässt nur solche neuen Tatsachen und Beweismittel zu, welche die Vorinstanz von Amtes wegen hätte berücksichtigen müssen und deren Nichtbeachtung eine Verletzung wesentlicher Verfahrensvorschriften darstellt ( BGE 128 II 145 E. 1.2.1 S. 150 mit Hinweisen).</w:t>
      </w:r>
    </w:p>
    <w:p>
      <w:r>
        <w:rPr>
          <w:b/>
        </w:rPr>
        <w:t>E. 2.1</w:t>
      </w:r>
    </w:p>
    <w:p>
      <w:r>
        <w:t>Nach Art. 10 Abs. 1 ANAG kann ein Ausländer insbesondere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w:t>
      </w:r>
    </w:p>
    <w:p>
      <w:r>
        <w:rPr>
          <w:b/>
        </w:rPr>
        <w:t>E. 2.2</w:t>
      </w:r>
    </w:p>
    <w:p>
      <w:r>
        <w:t>Die Beschwerdeführerin ist zu einer Gefängnisstrafe von 18 Tagen verurteilt worden. Der Ausweisungsgrund der gerichtlichen Bestrafung gemäss Art. 10 Abs. 1 lit. a ANAG ist damit grundsätzlich erfüllt. Was den Ausweisungsgrund von Art. 10 Abs. 1 lit. b ANAG betrifft, ist dieser gemäss Art. 16 Abs. 2 der Vollziehungsverordnung vom 1. März 1949 zum Bundesgesetz über Aufenthalt und Niederlassung der Ausländer (ANAV; SR 142.201) namentlich gegeben bei schweren oder wiederholten Verstössen gegen gesetzliche Vorschriften oder behördliche Verfügungen, bei fortgesetzter böswilliger oder liederlicher Nichterfüllung der öffentlichrechtlichen oder privatrechtlichen Verpflichtungen sowie bei sonstiger fortgesetzter Liederlichkeit oder Arbeitsscheu. Die Beschwerdeführerin beachtete weder Bussenverfügungen, noch amtliche Aufforderungen, noch fremdenpolizeiliche Verfügungen. Sowohl im Kanton Schaffhausen als auch im Kanton Thurgau hat die Beschwerdeführerin dauernd zu Klagen Anlass gegeben. Aus ihrem gesamten Verhalten geht klar hervor, dass sie nicht gewillt oder nicht fähig ist, sich in die hiesige Ordnung einzufügen. Auch dieser Ausweisungsgrund ist demnach gegeben. Im Weiteren besteht angesichts der fortgesetzten Missachtung von Vorschriften und Verpflichtungen ein erhebliches öffentliches Interesse an der Ausweisung der Beschwerdeführerin.</w:t>
      </w:r>
    </w:p>
    <w:p>
      <w:r>
        <w:rPr>
          <w:b/>
        </w:rPr>
        <w:t>E. 3.1</w:t>
      </w:r>
    </w:p>
    <w:p>
      <w:r>
        <w:t>Sind die Ausweisungsgründe von Art. 10 Abs. 1 lit. a und b ANAG erfüllt, bleibt zu prüfen, ob die Ausweisung "angemessen", d.h. verhältnismässig erscheint ( Art. 11 Abs. 3 ANAG ; vgl. BGE 125 II 521 E. 2b S. 524).</w:t>
      </w:r>
    </w:p>
    <w:p>
      <w:r>
        <w:rPr>
          <w:b/>
        </w:rPr>
        <w:t>E. 3.2</w:t>
      </w:r>
    </w:p>
    <w:p>
      <w:r>
        <w:t>Bereits im September 2001 ist die Beschwerdeführerin verwarnt worden und ist ihr bei Fortsetzung ihres liederlichen Verhaltens die Ausweisung angedroht worden. Seither wurde sie mit Bussen, Haft und Gefängnis bestraft. Sie hat hohe Schulden und wurde wiederholt erfolglos betrieben, weshalb offene Verlustscheine in Höhe von insgesamt nahezu Fr. 70'000.-- vorliegen. Dass dafür allein der inzwischen von ihr geschiedene Ehemann verantwortlich wäre, wie die Beschwerdeführerin zu ihrer Entlastung geltend macht, trifft nicht zu. Sie selber hat sich ebenfalls fortgesetzter liederlicher Nichterfüllung öffentlich- und privatrechtlicher Verpflichtungen schuldig gemacht sowie gegen gesetzliche Vorschriften verstossen. Selbst nach der Trennung von ihrem Ehemann hat sie im Übrigen ihr Verhalten nicht geändert, was ihre Unbelehrbarkeit zeigt. Ergänzend kann auf die Ausführungen im angefochtenen Entscheid verwiesen werden ( Art. 36a Abs. 3 OG ).</w:t>
      </w:r>
    </w:p>
    <w:p>
      <w:r>
        <w:rPr>
          <w:b/>
        </w:rPr>
        <w:t>E. 3.3</w:t>
      </w:r>
    </w:p>
    <w:p>
      <w:r>
        <w:t>Die Beschwerdeführerin ist vor 14 ½ Jahren im Alter von etwas über elf Jahren in die Schweiz eingereist. Aufgrund der relativ langen Aufenthaltsdauer in der Schweiz dürfte es ihr zwar nicht leicht fallen, nach Kroatien zurückzukehren. Andererseits hat sie ihre Kindheit in der Heimat verbracht. Trotz langjährigem Aufenthalt ist die Beschwerdeführerin weder beruflich noch sozial in der Schweiz integriert. Finanziell ist sie auf die Alimentenzahlungen des geschiedenen Ehemannes angewiesen, der ebenfalls aus der Schweiz ausgewiesen wurde und sich bereits nicht mehr hier aufhält. Damit besteht zudem Gefahr, dass sie zukünftig fortgesetzt und in erheblichem Masse der öffentlichen Wohltätigkeit zur Last fallen wird. Die beiden Kinder sind noch in einem anpassungsfähigen Alter. Da ihr Vater die Schweiz verlassen musste, wird ihre Beziehung zu diesem nicht beeinträchtigt, wenn sie mit ihrer Mutter ins Heimatland ausreisen müssen. Dass es den Kindern angeblich besser geht, wenn sie den Vater nicht sehen, kann nicht dazu führen, von einer Ausweisung der Kindsmutter abzusehen. Im Übrigen bringt die Beschwerdeführerin selber vor, der Vater der Kinder sei gar nicht nach Kroatien, sondern nach Bosnien ausgereist. Erstmals macht die Beschwerdeführerin geltend, sie befürchte, der ehemalige Ehemann könnte ihr gegenüber geäusserte Drohungen wahr machen, wenn sie nach Kroatien ausgewiesen werde. Abgesehen davon, dass sie dazu keine näheren Angaben macht, ist dieses Vorbringen neu und daher unbeachtlich (vgl. E. 1.3).</w:t>
      </w:r>
    </w:p>
    <w:p>
      <w:r>
        <w:rPr>
          <w:b/>
        </w:rPr>
        <w:t>E. 3.4</w:t>
      </w:r>
    </w:p>
    <w:p>
      <w:r>
        <w:t>Zusammenfassend ergibt sich, dass die öffentlichen Interessen an der Ausweisung der Beschwerdeführerin deren private Interessen am weiteren Verbleib in der Schweiz überwiegen. Ergänzend kann auf die Ausführungen im angefochtenen Entscheid verwiesen werden ( Art. 36 Abs. 3 OG ).</w:t>
      </w:r>
    </w:p>
    <w:p>
      <w:r>
        <w:rPr>
          <w:b/>
        </w:rPr>
        <w:t>E. 3.5</w:t>
      </w:r>
    </w:p>
    <w:p>
      <w:r>
        <w:t>Die Beschwerdeführerin kann auch aus dem in Art. 8 Ziff. 1 EMRK verankerten Anspruch auf Achtung des Familien- und Privatlebens nichts zu ihren Gunsten ableiten. Die Beziehungen der Beschwerdeführerin zu ihren übrigen Familienangehörigen fallen, da sie volljährig und nicht in besonderer Weise von ihnen abhängig ist, nicht (mehr) in den Schutzbereich dieser Garantie (vgl. BGE 120 Ib 257 E. 1d S. 261 f.; Urteil 2A.742/2004 vom 30. Dezember 2004 E. 2.3; vgl. Urteil des Europäischen Gerichtshofs für Menschenrechte i.S. Slivenko c. Lettland vom 9. Oktober 2003 [Nr. 48321/99], Rz. 97)</w:t>
      </w:r>
    </w:p>
    <w:p>
      <w:r>
        <w:rPr>
          <w:b/>
        </w:rPr>
        <w:t>E. 4.1</w:t>
      </w:r>
    </w:p>
    <w:p>
      <w:r>
        <w:t>Nach dem Gesagten erweist sich die Ausweisung als rechtmässig und der angefochtene Entscheid damit als bundesrechtskonform. Die offensichtlich unbegründete Verwaltungsgerichtsbeschwerde ist im vereinfachten Verfahren nach Art. 36a OG abzuweisen, soweit darauf eingetreten werden kann.</w:t>
      </w:r>
    </w:p>
    <w:p>
      <w:r>
        <w:rPr>
          <w:b/>
        </w:rPr>
        <w:t>E. 4.2</w:t>
      </w:r>
    </w:p>
    <w:p>
      <w:r>
        <w:t>Bei diesem Verfahrensausgang sind die bundesgerichtlichen Kosten der Beschwerdeführerin aufzuerlegen (Art. 156 Abs. 1 in Verbindung mit Art. 153 OG ). Bei der Festsetzung der Gerichtsgebühr wird der finanziellen Lage der Beschwerdeführerin Rechnung getragen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