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2A.194/2002 vom 25. April 2003</w:t>
      </w:r>
    </w:p>
    <w:p>
      <w:r>
        <w:t>Bundesgericht, 2003-04-25, DE</w:t>
      </w:r>
    </w:p>
    <w:p>
      <w:r>
        <w:rPr>
          <w:b/>
        </w:rPr>
        <w:t xml:space="preserve">Quelle: </w:t>
      </w:r>
      <w:r>
        <w:t>https://mcp.opencaselaw.ch/entscheid/bger_2A.194_2002</w:t>
      </w:r>
    </w:p>
    <w:p>
      <w:r>
        <w:t>FR: TF 2A.194/2002 du 25 avril 2003</w:t>
      </w:r>
    </w:p>
    <w:p>
      <w:r>
        <w:t>IT: TF 2A.194/2002 del 25 aprile 2003</w:t>
      </w:r>
    </w:p>
    <w:p>
      <w:pPr>
        <w:pStyle w:val="Heading2"/>
      </w:pPr>
      <w:r>
        <w:t>Erwägungen</w:t>
      </w:r>
    </w:p>
    <w:p>
      <w:r>
        <w:rPr>
          <w:b/>
        </w:rPr>
        <w:t>E. 1.1</w:t>
      </w:r>
    </w:p>
    <w:p>
      <w:r>
        <w:t>Das Verwaltungsgericht des Kantons Nidwalden handelte im vorliegenden Fall als kantonale Steuerrekurskommission im Sinne von Art. 140 ff. DBG . Gegen deren Entscheid ist die Verwaltungsgerichtsbeschwerde zulässig ( Art. 146 DBG ). Das kantonale Steueramt ist als kantonale Verwaltung für die direkte Bundessteuer zur Beschwerde legitimiert (Art. 146 zweiter Satz DBG in Verbindung mit Art. 103 lit. c OG ). Auf die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Nach Art. 175 Abs. 1 DBG wird unter anderem mit Busse bestraft, wer als Steuerpflichtiger vorsätzlich oder fahrlässig bewirkt, dass eine Veranlagung zu Unrecht unterbleibt oder dass eine rechtskräftige Veranlagung unvollständig ist. Wer eine Steuer zu hinterziehen versucht, wird gemäss Art. 176 Abs. 1 DBG mit Busse bestraft.</w:t>
      </w:r>
    </w:p>
    <w:p>
      <w:r>
        <w:rPr>
          <w:b/>
        </w:rPr>
        <w:t>E. 2.2</w:t>
      </w:r>
    </w:p>
    <w:p>
      <w:r>
        <w:t>Der objektive Tatbestand der vollendeten Steuerhinterziehung setzt voraus, dass aufgrund des Verhaltens des Steuerpflichtigen eine Veranlagung überhaupt unterbleibt oder eine rechtskräftige Veranlagung sich als unvollständig erweist (vgl. dazu Agner/Jung/Steinmann, Kommentar zum Gesetz über die direkte Bundessteuer, Zürich 1995, Art. 175, N 1 ff., S. 474 ff.; Agner/ Digeronimo/Neuhaus/Steinmann, Kommentar zum Gesetz über die direkte Bundessteuer, Ergänzungsband, Zürich 2000, Art. 175, N 2 ff., S. 333 ff.; Blumenstein/ Locher, System des schweizerischen Steuerrechts, 6. Aufl., Zürich 2002, S. 363 f.; Höhn/Waldburger, Steuerrecht, Bd. I, 9. Aufl., Bern/Stuttgart/Wien 2001, S. 1009 ff., § 38, N 9 ff.; Roman Sieber, in: Zweifel/Athanas [Hrsg.], Kommentar zum schweizerischen Steuerrecht, Bd. I/1, Bundesgesetz über die Harmonisierung der direkten Steuern der Kantone und Gemeinden [StHG], 2. Aufl., Basel/Genf/München 2002, N 6 ff. zu Art. 56). Bei der versuchten Steuerhinterziehung tritt der erwünschte Deliktserfolg, die ausgebliebene oder unvollständige Veranlagung, nicht ein, d.h. dass die Veranlagung steuerrechtlich korrekt und umfassend erfolgt. Bei der unvollständigen Veranlagung bleibt die Straftat solange im Versuchsstadium, bis die Veranlagung rechtskräftig geworden ist. Zwischen dem Verhalten des Steuerpflichtigen und dem erwünschten Deliktserfolg muss eine hypothetische Kausalität in dem Sinne bestehen, dass jenes für dieses adäquat kausal gewesen wäre, wenn der Deliktserfolg eingetreten wäre (vgl. dazu Agner/Jung/Steinmann, a.a.O., Art. 176, N 1 ff., S. 477 f.; Agner/Digeronimo/Neuhaus/Steinmann, a.a.O., Art. 176, S. 340; Blumenstein/ Locher, a.a.O., S. 363 f.; Höhn/Waldburger, a.a.O., § 38, N 11 ff.; Roman Sieber, a.a.O., N 21 ff. zu Art. 56).</w:t>
      </w:r>
    </w:p>
    <w:p>
      <w:r>
        <w:rPr>
          <w:b/>
        </w:rPr>
        <w:t>E. 2.3</w:t>
      </w:r>
    </w:p>
    <w:p>
      <w:r>
        <w:t>Der subjektive Tatbestand der versuchten Steuerhinterziehung setzt Vorsatz voraus; Fahrlässigkeit genügt dafür nicht (Agner/Jung/Steinmann, a.a.O., Art. 176, N 2 , S. 477; Agner/Digeronimo/Neuhaus/Steinmann, a.a.O., Art. 176, N 3.3 , S. 341; Höhn/Waldburger, a.a.O., § 38, N 20 ; Sieber, a.a.O., N 22 zu Art. 56).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mit Hinweisen; Urteil 2A.187/2000 vom 3. November 2000, E. 3c/bb).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18 Abs. 3 StGB ).</w:t>
      </w:r>
    </w:p>
    <w:p>
      <w:r>
        <w:rPr>
          <w:b/>
        </w:rPr>
        <w:t>E. 2.4</w:t>
      </w:r>
    </w:p>
    <w:p>
      <w:r>
        <w:t>In objektiver Hinsicht ergibt sich zunächst, dass die Veranlagung unbestrittenermassen rechtskräftig geworden und vollständig ausgefallen ist, dies allerdings erst aufgrund der nachträglichen Mitberücksichtigung des Meldeformulars der Eidgenössischen Steuerverwaltung. Die Steuererklärung war nämlich nicht vollständig.</w:t>
      </w:r>
    </w:p>
    <w:p>
      <w:r>
        <w:t>Zwar sind im der Steuererklärung beigelegten Wertschriftenverzeichnis "8 Aktien X.________ AG" mit dem Vermerk "Liquidation", einem Steuerwert am 1. Januar 1997 von Fr. 0.-- sowie jeweiligen jährlichen Bruttoerträgen für die Jahre 1995 und 1996 von Fr. 10'000.-- aufgeführt. Die Beschwerdegegnerin hat somit die Liquidation und weitgehend auch die damit verbundenen Finanzwerte in der Steuererklärung angegeben. Sie hat sie aber nicht als Einkommen deklariert. Dieser Mangel war für die Steuerbehörde nicht klar ersichtlich, weil sich für sie der Schein ergab, der Überschuss sei noch nicht verteilt worden bzw. es sei noch kein Anspruch darauf entstanden.</w:t>
      </w:r>
    </w:p>
    <w:p>
      <w:r>
        <w:rPr>
          <w:b/>
        </w:rPr>
        <w:t>E. 2.4.1</w:t>
      </w:r>
    </w:p>
    <w:p>
      <w:r>
        <w:t>Die Beschwerdegegnerin macht geltend, der Liquidationserlös sei erst im Bemessungsjahr 1997 angefallen; vor April 1997 seien keine Vermögenswerte an die Aktionäre verteilt worden noch habe ein bestimmter und konkreter Rechtsanspruch auf die Wertschriften bestanden. Die sie damals vertretende V.________ Treuhand-Gesellschaft hat aber in einem Schreiben vom 28. April 1999 eingewilligt, den Erlös aus der Liquidation der X.________ AG "in der Veranlagung 1997/98 nachzutragen, obwohl die Übertragung der Wertschriften ins Portefeuille des Steuerpflichtigen nachweislich erst per 23.4.97 erfolgte". Damit hat die Beschwerdegegnerin die Steuerpflicht für das Jahr 1996 anerkannt.</w:t>
      </w:r>
    </w:p>
    <w:p>
      <w:r>
        <w:rPr>
          <w:b/>
        </w:rPr>
        <w:t>E. 2.4.2</w:t>
      </w:r>
    </w:p>
    <w:p>
      <w:r>
        <w:t>Im Übrigen gilt ein Einkommen grundsätzlich steuerrechtlich als in jenem Zeitpunkt erzielt, in welchem der Steuerpflichtige eine Leistung vereinnahmt oder einen festen Anspruch darauf erwirbt. Der steuerrechtlich massgebliche Einkommensanfall erfolgt dabei auf den Zeitpunkt des Übergangs der wirtschaftlichen Verfügungsmacht. Die Fälligkeit einer Leistung oder deren tatsächliche Erfüllung ist somit nicht zwingend Voraussetzung des Einkommenszuflusses. Auf den Zeitpunkt des tatsächlichen Eingangs ist nur dort abzustellen, wo ein solcher vorher unsicher erscheint (vgl. BGE 113 Ib 23 E. 2e S. 26; 105 Ib 238 E. 4a S. 242; Urteile des Bundesgerichts 2A.67/1997 vom 14. Oktober 1998 in StR 54/1999 S. 196 E. 5b und 2P.14/1998 vom 3. Juli 1998 in RDAF 1998 2 374 E. 3a; Peter Locher, Kommentar zum DBG, I. Teil, Therwil/Basel 2001, N 18 ff. zu Art. 16; Markus Reich, in: Zweifel/Athanas [Hrsg.], Kommentar zum schweizerischen Steuerrecht, Bd. I/2a, Bundesgesetz über die direkte Bundessteuer [DBG], Art. 1-82, Basel/Genf/München 2000, N 34 ff. zu Art. 16).</w:t>
      </w:r>
    </w:p>
    <w:p>
      <w:r>
        <w:t>Im vorliegenden Fall handelte es sich um eine Verteilung eines Liquidationsüberschusses im Verfahren nach Art. 745 Abs. 3 OR , weshalb die Beschwerdegegnerin den Anspruch auf ihren Liquidationsanteil grundsätzlich im Zeitpunkt der Bestätigung durch den Revisor erwarb. Am 17. Mai 1996 erging der Beschluss über die Auflösung der X.________ AG. Am 12. September 1996 genehmigte der Revisor die Liquidation und die Verteilung des entsprechenden Überschusses an die Aktionäre, womit die dreimonatige Frist von Art. 745 Abs. 3 OR eingehalten war. Gemäss späterer Meldung an die Eidgenössische Steuerverwaltung im Meldeverfahren bei der Verrechnungssteuer wurde der Anspruch als am 16. Oktober 1996 fällig geworden bezeichnet. Spätestens an diesem Termin stand der Anteil der Beschwerdegegnerin am Liquidationsüberschuss betragsmässig fest, und er war damals als solcher auch einforderbar. Damit war der Liquidationsanteil im Bemessungsjahr 1996 als Einkommen steuerbar.</w:t>
      </w:r>
    </w:p>
    <w:p>
      <w:r>
        <w:rPr>
          <w:b/>
        </w:rPr>
        <w:t>E. 2.4.3</w:t>
      </w:r>
    </w:p>
    <w:p>
      <w:r>
        <w:t>Damit hat die Beschwerdegegnerin ein Verhalten gezeigt, das objektiv auf eine Steuerverkürzung ausgerichtet war und für eine solche hypothetisch kausal gewesen wäre.</w:t>
      </w:r>
    </w:p>
    <w:p>
      <w:r>
        <w:rPr>
          <w:b/>
        </w:rPr>
        <w:t>E. 2.5</w:t>
      </w:r>
    </w:p>
    <w:p>
      <w:r>
        <w:t>In subjektiver Hinsicht bleibt zu prüfen, ob sich der Beschwerdegegnerin ein Vorsatz nachweisen lässt.</w:t>
      </w:r>
    </w:p>
    <w:p>
      <w:r>
        <w:rPr>
          <w:b/>
        </w:rPr>
        <w:t>E. 2.5.1</w:t>
      </w:r>
    </w:p>
    <w:p>
      <w:r>
        <w:t>Zunächst fragt es sich, wieweit sich die Beschwerdegegnerin das Verhalten der Treuhandgesellschaft, die für sie die Steuererklärung vorbereitete, und allenfalls ihres Ehemannes anrechnen lassen muss. Jedenfalls trifft dies soweit zu, als sie zusammen mit der Treuhandgesellschaft bzw. zusammen mit ihrem Ehemann gemeinsam gehandelt hat. Die Beschwerdegegnerin beruft sich nicht auf Art. 180 Abs. 2 DBG , wonach jedem Ehegatten der Nachweis offen steht, dass die Hinterziehung seiner Steuerfaktoren durch den anderen Ehegatten ohne sein Wissen erfolgte oder dass er ausserstande war, die Hinterziehung zu verhindern. Die Beschwerdegegnerin muss sich auch entgegenhalten lassen, dass sie die fragliche Steuererklärung persönlich unterzeichnet und damit als eigene akzeptiert hat. Da die versuchte Steuerhinterziehung als Straftatbestand eine persönliche Vorwerfbarkeit im Sinne des Schuldprinzips (dazu Blumenstein/Locher, a.a.O., S. 369 f.) erfordert, setzt die Annahme eines Vorsatzes freilich auch voraus, dass die Beschwerdegegnerin selber im Wissen um die objektiven Tatbestandselemente gehandelt und den erwünschten Deliktserfolg zumindest in Kauf genommen hat.</w:t>
      </w:r>
    </w:p>
    <w:p>
      <w:r>
        <w:t>Wie das Verwaltungsgericht zutreffend festgestellt hat, kann sich ein Steuerpflichtiger der Verantwortung für die Richtigkeit und Vollständigkeit der Angaben in der Steuererklärung andrerseits nicht dadurch entziehen, dass er seine Steuerangelegenheiten durch einen vertraglichen Vertreter besorgen lässt. Hat der Vertreter in der Steuererklärung unrichtige Angaben gemacht und damit eine Steuerverkürzung bewirkt, so hat sich der Steuerpflichtige dessen schuldhaftes Verhalten anzurechnen, wenn er in der Lage gewesen wäre, die Fehler zu erkennen (ASA 36 S. 374 E. 3). Namentlich nimmt er den Versuch einer Steuerverkürzung in Kauf, wenn er die Erstellung der Steuererklärung ohne klare Instruktionen und ohne jegliche Kontrolle einem Treuhänder überträgt und sich nicht darum kümmert, ob die in der Steuererklärung enthaltenen Angaben richtig und vollständig sind (vgl. Urteil des Bundesgerichts 2A.228/2001 vom 13. November 2001 in StE 2002 B 101.21 Nr. 15).</w:t>
      </w:r>
    </w:p>
    <w:p>
      <w:r>
        <w:rPr>
          <w:b/>
        </w:rPr>
        <w:t>E. 2.5.2</w:t>
      </w:r>
    </w:p>
    <w:p>
      <w:r>
        <w:t>Beim Ausfüllen der Steuererklärung gingen die Beschwerdegegnerin und ihr Mann sowie die Treuhandgesellschaft offenbar davon aus, der Liquidationsüberschuss sei als Einkommen steuerrechtlich erst in der nachfolgenden Veranlagungsperiode massgeblich gewesen. Die Steuerbehörden wenden dagegen ein, in der Wegleitung zur fraglichen Steuererklärung sei ausdrücklich erläutert worden, Liquidationsüberschüsse seien als Einkommen zu verbuchen, und die Beschwerdegegnerin sei darauf auch ausdrücklich von der mit der Liquidation betrauten Treuhandgesellschaft hingewiesen worden.</w:t>
      </w:r>
    </w:p>
    <w:p>
      <w:r>
        <w:rPr>
          <w:b/>
        </w:rPr>
        <w:t>E. 2.5.3</w:t>
      </w:r>
    </w:p>
    <w:p>
      <w:r>
        <w:t>In der Wegleitung zur Steuererklärung 1997/98 wird in Ziff. 4.1 unter anderem ausgeführt:</w:t>
      </w:r>
    </w:p>
    <w:p>
      <w:r>
        <w:t>"Als Zinsen und Gewinnanteile gelten auch die in Form von Gratisaktien, Gratisobligationen, Gratisliberierungen, Liquidationsüberschüssen oder in irgend einer anderen Form enthaltenen geldwerten Leistungen aus Guthaben und Beteiligungen, die rechtlich keine Rückzahlung eines Kapitalguthabens oder Kapitalanteils darstellen."</w:t>
      </w:r>
    </w:p>
    <w:p>
      <w:r>
        <w:t>Im von der Steuerbehörde angerufenen Schreiben der U.________ Treuhand AG an die Beschwerdegegnerin vom 7. Februar 1997 findet sich folgende Passage:</w:t>
      </w:r>
    </w:p>
    <w:p>
      <w:r>
        <w:t>"Wir bitten Sie zu beachten, dass jegliche Erträge ab 1.10.96 in Ihrer privaten Steuererklärung zu deklarieren sind und entsprechend durch Sie die Verrechnungssteuer rückforderbar ist. Gleichzeitig sind die Ihnen zugeteilten Aktien per 1.1.97 im Vermögen anzugeben."</w:t>
      </w:r>
    </w:p>
    <w:p>
      <w:r>
        <w:t>Der Beschwerdegegnerin ist teilweise zugute zu halten, dass es nicht offensichtlich ist, von welchem massgeblichen Zeitpunkt bei einem Liquidationsanteil, wie er im vorliegenden Fall zur Diskussion steht, steuerrechtlich auszugehen ist. In der Mitteilung, welche die Beschwerdegegnerin von der die Liquidation durchführenden U.________ Treuhand AG erhielt, ist allgemein von der Deklaration der "Erträge", nicht aber spezifisch vom Liquidationsüberschuss die Rede. Wie und für welche Bemessungsperiode die Deklaration in der Steuererklärung zu erfolgen hatte, ging aus beiden Unterlagen somit für die Beschwerdegegnerin als nicht fachkundige Person nicht deutlich hervor. Der Beschwerdegegnerin ist daher eine gewisse Unsicherheit darüber zuzugestehen, ob der Liquidationserlös bereits steuerpflichtig und in welcher Rubrik der Steuererklärung er gegebenenfalls einzutragen war. Aufgrund der allfälligen Unsicherheit hätte sie aber an die Steuerbehörden gelangen können und müssen und nicht einfach auf eine Deklaration des Liquidationsüberschusses als Einkommen verzichten dürfen.</w:t>
      </w:r>
    </w:p>
    <w:p>
      <w:r>
        <w:rPr>
          <w:b/>
        </w:rPr>
        <w:t>E. 2.5.4</w:t>
      </w:r>
    </w:p>
    <w:p>
      <w:r>
        <w:t>Es fällt auf, dass die Beschwerdegegnerin bzw. ihr Ehemann keine Schwierigkeiten hatten, das Meldeverfahren bei der Verrechnungssteuer einzuleiten oder einleiten zu lassen, obwohl sich für die entsprechende steuerliche Behandlung eines Liquidationsüberschusses zumindest vergleichbar komplexe Fragen stellen wie bei der Veranlagung für die direkte Bundessteuer. Die Beschwerdegegnerin bzw. die damals für sie handelnde Treuhandgesellschaft hat im vorliegenden Fall ein solches Gesuch für einen Liquidationsüberschuss im Betrag von Fr. 458'956.-- gestellt, und diesem Gesuch ist von der Eidgenössischen Steuerverwaltung stattgegeben worden. Mit der Meldung vom 25. März 1997 bestätigte die Eidgenössische Steuerverwaltung, dass sie auf dem fraglichen Liquidationsüberschuss die Verrechnungssteuer nicht erhoben hatte.</w:t>
      </w:r>
    </w:p>
    <w:p>
      <w:r>
        <w:t>Einerseits hat also die Beschwerdegegnerin die Vorteile des Meldeverfahrens zu nutzen gewusst. Andererseits musste sie aufgrund des Meldeverfahrens damit rechnen, dass nicht nur die Eidgenössische Steuerverwaltung, sondern vermutlich auch die kantonale und kommunale Steuerbehörde davon Kenntnis erhalten würden, was in einem gewissen Widerspruch zu einem Hinterziehungsvorsatz bei der Einkommenssteuer steht.</w:t>
      </w:r>
    </w:p>
    <w:p>
      <w:r>
        <w:rPr>
          <w:b/>
        </w:rPr>
        <w:t>E. 2.5.5</w:t>
      </w:r>
    </w:p>
    <w:p>
      <w:r>
        <w:t>Die Beschwerdegegnerin ist zwar ihrer Deklarationspflicht bei einem Liquidationserlös, der mit Fr. 458'956.-- immerhin einen sehr ansehnlichen Betrag umfasste, nicht nachgekommen. Mehr als eine Sorgfaltspflichtverletzung lässt sich ihr dabei aber nicht nachweisen. Der vorliegende Fall ist denn auch entgegen der Auffassung der Eidgenössischen Steuerverwaltung nicht gleich zu beurteilen wie derjenige, über den das Bundesgericht im Urteil 2A.228/2001 vom 13. November 2001 (in StE 2002 B 101.21 Nr. 15) entschieden hat. Während sich der damalige Steuerpflichtige überhaupt nicht um die Buchhaltung seines Betriebes und um seine Steuererklärung kümmerte und damit unklare Verhältnisse und unvollständige Angaben in Kauf nahm, ist eine entsprechende Passivität der Beschwerdegegnerin nicht belegt. Sie hat sich im Wesentlichen über die zeitliche Bedeutung des Liquidationsüberschusses getäuscht. Aus den dargelegten Gründen kann aus ihrem Verhalten nicht mit rechtsgenüglicher Gewissheit ein Eventualvorsatz abgeleitet werden. Dass die Beschwerdegegnerin Kenntnis von der korrekten Deklaration des fraglichen Liquidationserlöses hatte und eine Steuerverkürzung beabsichtigte oder wenigstens in Kauf nahm, ist daher nicht belegt.</w:t>
      </w:r>
    </w:p>
    <w:p>
      <w:r>
        <w:rPr>
          <w:b/>
        </w:rPr>
        <w:t>E. 2.5.6</w:t>
      </w:r>
    </w:p>
    <w:p>
      <w:r>
        <w:t>Fehlt es somit am Vorsatz, entfallen eine Verurteilung wegen versuchter Steuerhinterziehung und damit die Ausfällung einer Steuerbusse. Der angefochtene Entscheid verletzt Bundesrecht daher nicht.</w:t>
      </w:r>
    </w:p>
    <w:p>
      <w:r>
        <w:rPr>
          <w:b/>
        </w:rPr>
        <w:t>E. 3</w:t>
      </w:r>
    </w:p>
    <w:p>
      <w:r>
        <w:t>Die Verwaltungsgerichtsbeschwerde erweist sich als unbegründet und ist abzuweisen.</w:t>
      </w:r>
    </w:p>
    <w:p>
      <w:r>
        <w:t>Damit sind die Kosten des bundesgerichtlichen Verfahrens dem Kanton Nidwalden aufzuerlegen ( Art. 156 Abs. 1 und 2 OG ). Dieser hat überdies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