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2A.185/2004 vom 7. April 2004</w:t>
      </w:r>
    </w:p>
    <w:p>
      <w:r>
        <w:t>Bundesgericht, 2004-04-07, DE</w:t>
      </w:r>
    </w:p>
    <w:p>
      <w:r>
        <w:rPr>
          <w:b/>
        </w:rPr>
        <w:t xml:space="preserve">Quelle: </w:t>
      </w:r>
      <w:r>
        <w:t>https://mcp.opencaselaw.ch/entscheid/bger_2A.185_2004</w:t>
      </w:r>
    </w:p>
    <w:p>
      <w:r>
        <w:t>FR: TF 2A.185/2004 du 7 avril 2004</w:t>
      </w:r>
    </w:p>
    <w:p>
      <w:r>
        <w:t>IT: TF 2A.185/2004 del 7 aprile 2004</w:t>
      </w:r>
    </w:p>
    <w:p>
      <w:pPr>
        <w:pStyle w:val="Heading2"/>
      </w:pPr>
      <w:r>
        <w:t>Erwägungen</w:t>
      </w:r>
    </w:p>
    <w:p>
      <w:r>
        <w:rPr>
          <w:b/>
        </w:rPr>
        <w:t>E. 1.1</w:t>
      </w:r>
    </w:p>
    <w:p>
      <w:r>
        <w:t>Die zuständige Behörde kann einen Ausländer in Ausschaffungshaft nehmen, sofern die Voraussetzungen von Art. 13b ANAG erfüllt sind. Danach ist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w:t>
      </w:r>
    </w:p>
    <w:p>
      <w:r>
        <w:rPr>
          <w:b/>
        </w:rPr>
        <w:t>E. 2.1</w:t>
      </w:r>
    </w:p>
    <w:p>
      <w:r>
        <w:t>Der Beschwerdeführer ist im Asylverfahren rechtskräftig weggewiesen worden. Die Ausschaffungshaft ist zum Vollzug dieser Wegweisung angeordnet worden.</w:t>
      </w:r>
    </w:p>
    <w:p>
      <w:r>
        <w:rPr>
          <w:b/>
        </w:rPr>
        <w:t>E. 2.2</w:t>
      </w:r>
    </w:p>
    <w:p>
      <w:r>
        <w:t>Der Haftgrund der Untertauchensgefahr ( Art. 13b Abs. 1 lit. c ANAG ) ist gegeben, ist doch der Beschwerdeführer bei seiner Einreise in die Schweiz im Jahre 1998 bis im März 2002 unter einem falschen Namen aufgetreten; dazu kommt, dass er vom 9. März 2001 bis zum 5. Februar 2002 untergetaucht war; wie sich später herausstellte, wurde er während dieser Zeit von seiner Freundin beherbergt. Auch mit der Preisgabe seiner Identität am 20. März 2002 ist die Untertauchensgefahr nicht entfallen: Der Beschwerdeführer hat den Ausländerbehörden verschwiegen, dass er seit dem Herbst 2003 über einen Reisepass verfügt; dazu kommt, dass er anlässlich der Befragung vom 9. Januar 2004 die Flucht ergriff, um sich der Ausschaffungshaft zu entziehen. Damit bietet er keine Gewähr dafür, dass er sich zu gegebener Zeit für die Ausschaffung zur Verfügung halten wird.</w:t>
      </w:r>
    </w:p>
    <w:p>
      <w:r>
        <w:rPr>
          <w:b/>
        </w:rPr>
        <w:t>E. 3.1</w:t>
      </w:r>
    </w:p>
    <w:p>
      <w:r>
        <w:t>Der Beschwerdeführer macht geltend, der Vollzug der Wegweisung sei derzeit aus rechtlichen Gründen im Sinne von Art. 13c Abs. 5 lit. a ANAG nicht durchführbar. Die Wegweisung als solche hingegen ficht er nicht im vorliegenden Haftprüfungsverfahren an, sondern in Form eines Wiedererwägungsgesuchs beim Bundesamt für Flüchtlinge; dies zu Recht, denn die Frage, ob eine Wegweisung wegen veränderter Umstände unzumutbar geworden sein könnte, bildet nicht Gegenstand der Haftprüfung ( BGE 125 II 217 E. 2 S. 221).</w:t>
      </w:r>
    </w:p>
    <w:p>
      <w:r>
        <w:rPr>
          <w:b/>
        </w:rPr>
        <w:t>E. 3.2</w:t>
      </w:r>
    </w:p>
    <w:p>
      <w:r>
        <w:t>Eine bevorstehende Heirat lässt einen Wegweisungsentscheid als solchen nicht dahinfallen; ebenso wenig das am 25. März 2004 beim Bundesamt für Flüchtlinge eingereichte Wiedererwägungsgesuch. Dies macht der Beschwerdeführer denn auch nicht geltend. Er ist vielmehr der Meinung, dass aufgrund der, wie er behauptet, schon fast abgeschlossenen Hochzeitsvorbereitungen der Vollzug der Wegweisung zum jetzigen Zeitpunkt absolut unverhältnismässig und damit unrechtmässig sei, und weist darauf hin, dass seine Freundin über die Niederlassungsbewilligung verfüge.</w:t>
      </w:r>
    </w:p>
    <w:p>
      <w:r>
        <w:t>Am 17. Oktober 2003 ermächtigte X.________ das Zivilstandsamt Basel-Stadt, die von ihm eingereichten heimatlichen Ausweispapiere zur Überprüfung an die für Bangladesh zuständige Schweizer Behörde weiterzuleiten. Gemäss einer Bescheinigung dieses Zivilstandsamts vom 2. Februar 2004 sind einige für die Einleitung des Ehevorbereitungsverfahrens notwendigen Papiere eingereicht worden, andere fehlen noch. Der Beschwerdeführer behauptet in seiner Replik, es fehle einzig noch eine Wohnsitzbescheinigung, und sobald diese vorliege, könnte innerhalb von einigen Wochen ein Heiratstermin der Parteien vereinbart werden. Ob diese Behauptung zutrifft, ist nicht erwiesen; die Formulierung der Bescheinigung der Zivilstandsbehörde lässt vielmehr darauf schliessen, dass noch mehr als ein einziges Dokument ausstehend ist. Auf jeden Fall ist das Vorbereitungsverfahren zur Zeit noch nicht abgeschlossen ( Art. 99 Abs. 2 ZGB ).</w:t>
      </w:r>
    </w:p>
    <w:p>
      <w:r>
        <w:t>Der Vollzug einer Wegweisung könnte höchstens dann als unverhältnismässig und damit als aus rechtlichen Gründen undurchführbar im Sinne von Art. 13c Abs. 5 lit. a ANAG gelten, wenn sämtliche für die Eheschliessung notwendigen Papiere vorliegen würden und das Zivilstandsamt schon einen konkreten Heiratstermin festgesetzt hätte. In einem solchen Fall wäre eine Ausschaffung in das geographisch doch weit entfernte Bangladesh wohl unverhältnismässig, womit die Ausschaffungshaft zu beenden wäre.</w:t>
      </w:r>
    </w:p>
    <w:p>
      <w:r>
        <w:t>Dies ist aber, wie ausgeführt, vorderhand nicht der Fall, sodass zur Zeit die Ausschaffungshaft als Mittel zur Sicherung des Vollzugs der nach wie vor gültigen Wegweisungsverfügung gerechtfertigt ist.</w:t>
      </w:r>
    </w:p>
    <w:p>
      <w:r>
        <w:rPr>
          <w:b/>
        </w:rPr>
        <w:t>E. 3.3</w:t>
      </w:r>
    </w:p>
    <w:p>
      <w:r>
        <w:t>Ergibt sich diesbezüglich eine Änderung, etwa indem unterdessen ein Heiratstermin festgelegt wird, so kann der Beschwerdeführer - auch ausserhalb der nach einer Haftgenehmigung geltenden Fristen - ein Gesuch um Haftentlassung stellen.</w:t>
      </w:r>
    </w:p>
    <w:p>
      <w:r>
        <w:rPr>
          <w:b/>
        </w:rPr>
        <w:t>E. 4</w:t>
      </w:r>
    </w:p>
    <w:p>
      <w:r>
        <w:t>Die Verwaltungsgerichtsbeschwerde ist daher als offensichtlich unbegründet abzuweisen. Dem Gesuch um unentgeltliche Rechtspflege und Verbeiständung kann wegen Aussichtslosigkeit des gestellten Rechtsbegehrens nicht entsprochen werden ( Art. 152 Abs. 1 OG ). Bei diesem Verfahrensausgang wären die Gerichtskosten grundsätzlich vom Beschwerdeführer zu tragen ( Art. 156 Abs. 1 OG ). Es rechtfertigt sich indessen, von der Erhebung von 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