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2A.183/2002 vom 4. Juni 2002</w:t>
      </w:r>
    </w:p>
    <w:p>
      <w:r>
        <w:t>Bundesgericht, 2002-06-04, FR</w:t>
      </w:r>
    </w:p>
    <w:p>
      <w:r>
        <w:rPr>
          <w:b/>
        </w:rPr>
        <w:t xml:space="preserve">Quelle: </w:t>
      </w:r>
      <w:r>
        <w:t>https://mcp.opencaselaw.ch/entscheid/bger_2A.183_2002</w:t>
      </w:r>
    </w:p>
    <w:p>
      <w:r>
        <w:t>FR: TF 2A.183/2002 du 4 juin 2002</w:t>
      </w:r>
    </w:p>
    <w:p>
      <w:r>
        <w:t>IT: TF 2A.183/2002 del 4 giugno 2002</w:t>
      </w:r>
    </w:p>
    <w:p>
      <w:pPr>
        <w:pStyle w:val="Heading2"/>
      </w:pPr>
      <w:r>
        <w:t>Regeste</w:t>
      </w:r>
    </w:p>
    <w:p>
      <w:r>
        <w:t>Droit de cité et droit des étrangers</w:t>
      </w:r>
    </w:p>
    <w:p>
      <w:pPr>
        <w:pStyle w:val="Heading2"/>
      </w:pPr>
      <w:r>
        <w:t>Erwägungen</w:t>
      </w:r>
    </w:p>
    <w:p>
      <w:r>
        <w:rPr>
          <w:b/>
        </w:rPr>
        <w:t>E. 1</w:t>
      </w:r>
    </w:p>
    <w:p>
      <w:r>
        <w:t>La voie du recours de droit administratif est ouverte contre les décisions relatives à l'assujettissement aux mesures de limitation prévues par l'ordonnance limitant le nombre des étrangers ( ATF 122 II 403 consid. 1 p. 404/405; 119 Ib 33 consid. 1a p. 35). Déposé en temps utile et dans les formes prescrites par la loi, le présent recours est donc en principe recevable en vertu des art. 97ss OJ . Il ne peut toutefois porter que sur l'objet du litige, soit sur le refus des autorités fédérales d'exempter le recourant des mesures de limitation. A cet égard, les arguments du recourant au sujet du statut de son père, saisonnier pendant douze saisons avant d'obtenir une autorisation annuelle de séjour, de même que ceux qui ont déjà été examinés dans le cadre de la décision relative au regroupement familial devenue définitive à la suite de l'arrêt du Tribunal administratif du 10 avril 2001, ne peuvent pas être pris en considération.</w:t>
      </w:r>
    </w:p>
    <w:p>
      <w:r>
        <w:rPr>
          <w:b/>
        </w:rPr>
        <w:t>E. 2</w:t>
      </w:r>
    </w:p>
    <w:p>
      <w:r>
        <w:t>D'après l' art. 104 OJ , le recours de droit administratif peut être formé pour violation du droit fédéral, y compris l'excès et l'abus de pouvoir d'appréciation (lettre a), ainsi que pour constatation inexacte ou incomplète des faits pertinents (lettre b). L'autorité intimée étant une autorité administrative, le Tribunal fédéral peut revoir d'office les constatations de fait ( art. 105 OJ ). En outre, en matière de police des étrangers, pour autant que la décision attaquée émane d'une telle autorité, le Tribunal fédéral fonde en principe ses jugements sur l'état de fait et de droit existant au moment de la décision de dernière instance, soit de sa propre décision ( art. 104 lettre b et 105 al. 1 OJ ; ATF 121 II 97 consid. 1c p. 99; 120 Ib 257 consid. 1f p. 262/263).</w:t>
      </w:r>
    </w:p>
    <w:p>
      <w:r>
        <w:rPr>
          <w:b/>
        </w:rPr>
        <w:t>E. 3.1</w:t>
      </w:r>
    </w:p>
    <w:p>
      <w:r>
        <w:t>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lettre f OLE soustrait aux mesures de limitation "les étrangers qui obtiennent une autorisation de séjour dans un cas personnel d'extrême gravité ou en raison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Il découle de la formulation de l'art. 13 lettre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de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se soit bien intégré en Suisse, socialement et professionnellement, et que son comportement n'ait pas fait l'objet de plaintes ne suffit pas, à lui seul, à constituer un cas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124 II 110 consid. 2 p. 111ss et les références citées).</w:t>
      </w:r>
    </w:p>
    <w:p>
      <w:r>
        <w:rPr>
          <w:b/>
        </w:rPr>
        <w:t>E. 3.2</w:t>
      </w:r>
    </w:p>
    <w:p>
      <w:r>
        <w:t>En l'espèce, il s'agit d'un étranger de vingt-deux ans, célibataire, qui est en mesure de mener une existence indépendante de ses parents et de ses frères et soeurs. Il n'a vécu que quatre ans en Suisse et ne démontre pas qu'il y ait tissé des liens particulièrement étroits. Il a donc la possibilité de se réintégrer dans son pays d'origine, quand bien même une grande partie de sa proche famille se trouve désormais en Suisse et qu'il n'a plus qu'une soeur au Kosovo. Quant à son intégration professionnelle, elle n'a rien d'exceptionnelle, puisqu'il travaille comme manoeuvre dans une exploitation viticole. L'autorité fédérale a dès lors fait une juste appréciation de la situation et il peut être renvoyé aux considérants de la décision attaquée sur ce point ( art. 36a al. 3 OJ ). Reste à déterminer si la question de l'appartenance du recourant à une ethnie minoritaire au Kosovo, les Goranis, serait de nature à lui causer un préjudice tel qu'il pourrait constituer un cas d'extrême gravité.</w:t>
      </w:r>
    </w:p>
    <w:p>
      <w:r>
        <w:rPr>
          <w:b/>
        </w:rPr>
        <w:t>E. 3.3</w:t>
      </w:r>
    </w:p>
    <w:p>
      <w:r>
        <w:t>Selon la jurisprudence, l'exemption des mesures de limitation selon l'art. 13 lettre f OLE n'est pas destinée à permettre à un étranger de séjourner en Suisse pour des motifs liés à la protection de sa personne en raison d'une situation de guerre, d'abus des autorités étatiques ou d'actes de persécution dirigé contre lui. De tels motifs relèvent en effet de la procédure d'asile ou doivent être examinés à l'occasion d'une décision de renvoi entrée en force ( ATF 123 II 125 consid. 5b/dd p. 133; 119 Ib 33 consid. 4b p. 43 et les références citées). A ce titre, le contexte socio-économique discriminatoire qui peut sévir dans une région donnée en raison de la situation politique de l'ex-Yougoslavie est réputé provenir directement ou indirectement des autorités étatiques; les différences de traitement qui en résultent ne sont pas prises en considération dans le cadre d'une procédure d'exception aux mesures de limitation, même si elles sont susceptibles de causer des préjudices graves aux intéressés. Il reste cependant possible de tenir compte de telles circonstances lors de l'examen de la situation particulière d'un étranger, pour déterminer si elles peuvent constituer un cas personnel d'extrême gravité au sens de l'art. 13 lettre f OLE (arrêts non publiés du 12 septembre 1994 (2A.260/1993) en la cause A. c. DFJP et du 3 juillet 1992 (2A.279/1991 en la cause P.-K. c. DFJP). Sur ce point, le recourant ne démontre pas que la minorité ethnique à laquelle il appartient serait l'objet d'une persécution non-étatique particulière par rapport aux autres minorités ethniques du Kosovo. La situation du recourant, s'il devait rentrer dans son pays d'origine, ne serait donc pas différente de celle des membres d'autres communautés telles que les Serbes, les Roms, les Achkalis ou les Bosniaques, qui peuvent toutes subir certaines discriminations sociales suivant les endroits où elles se trouvent. Toutefois, cela ne suppose pas des persécutions non-étatiques sur le plan individuel qui pourraient constituer un cas d'extrême gravité. L'appartenance du recourant à la minorité ethnique des Goranis n'a dès lors pas à être prise en compte dans le cadre d'une exception aux mesures de limitation. Il appartiendra, le cas échéant, à l'autorité compétente d'examiner lors de l'exécution de la décision de renvoi, si la situation présente permet le retour dans le pays d'origine. En l'état, la décision du Département fédéral de justice et police ne viole donc pas le droit fédéral.</w:t>
      </w:r>
    </w:p>
    <w:p>
      <w:r>
        <w:rPr>
          <w:b/>
        </w:rPr>
        <w:t>E. 4.1</w:t>
      </w:r>
    </w:p>
    <w:p>
      <w:r>
        <w:t>Compte tenu de ce qui précède, le recours doit être rejeté, avec suite de frais à la charge du recourant ( art. 156 al. 2 OJ ).</w:t>
      </w:r>
    </w:p>
    <w:p>
      <w:r>
        <w:rPr>
          <w:b/>
        </w:rPr>
        <w:t>E. 4.2</w:t>
      </w:r>
    </w:p>
    <w:p>
      <w:r>
        <w:t>Au vu de l'issue du recours, la demande de mesures provisionnelles présentée par le recourant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