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2A.182/2002 vom 25. April 2003</w:t>
      </w:r>
    </w:p>
    <w:p>
      <w:r>
        <w:t>Bundesgericht, 2003-04-25, DE</w:t>
      </w:r>
    </w:p>
    <w:p>
      <w:r>
        <w:rPr>
          <w:b/>
        </w:rPr>
        <w:t xml:space="preserve">Quelle: </w:t>
      </w:r>
      <w:r>
        <w:t>https://mcp.opencaselaw.ch/entscheid/bger_2A.182_2002</w:t>
      </w:r>
    </w:p>
    <w:p>
      <w:r>
        <w:t>FR: TF 2A.182/2002 du 25 avril 2003</w:t>
      </w:r>
    </w:p>
    <w:p>
      <w:r>
        <w:t>IT: TF 2A.182/2002 del 25 aprile 2003</w:t>
      </w:r>
    </w:p>
    <w:p>
      <w:pPr>
        <w:pStyle w:val="Heading2"/>
      </w:pPr>
      <w:r>
        <w:t>Erwägungen</w:t>
      </w:r>
    </w:p>
    <w:p>
      <w:r>
        <w:rPr>
          <w:b/>
        </w:rPr>
        <w:t>E. 1.1</w:t>
      </w:r>
    </w:p>
    <w:p>
      <w:r>
        <w:t>Das Verwaltungsgericht des Kantons Nidwalden handelte im vorliegenden Fall als kantonale Steuerrekurskommission im Sinne von Art. 140 ff. DBG . Gegen deren Entscheid ist die Verwaltungsgerichtsbeschwerde zulässig ( Art. 146 DBG ). Das kantonale Steueramt ist als kantonale Verwaltung für die direkte Bundessteuer zur Beschwerde legitimiert (Art. 146 zweiter Satz DBG in Verbindung mit Art. 103 lit. c OG ). Auf die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Streitig ist im vorliegenden Fall, ob das Urteil des Verwaltungsgerichts, den Beschwerdeführer bei der direkten Bundessteuer nicht mit einer Nachsteuer zu belegen und nicht wegen Steuerhinterziehung zu büssen, vor Bundesrecht standhält. Die beiden Tatbestände sind nach dem neuen Recht der direkten Bundessteuer nicht mehr zwingend aneinander gekoppelt (dazu etwa Klaus A. Vallender, in: Zweifel/Athanas [Hrsg.], Kommentar zum schweizerischen Steuerrecht, Bd. I/2b, Bundesgesetz über die direkte Bundessteuer [DBG], Art. 83-222, Basel/Genf/München 2000, N 5 f. zu Art. 151). Im Folgenden ist dennoch zunächst die Frage der Nachsteuer und danach diejenige der Steuerbusse zu prüfen.</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w:t>
      </w:r>
    </w:p>
    <w:p>
      <w:r>
        <w:t>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 Art. 151 Abs. 2 DBG ).</w:t>
      </w:r>
    </w:p>
    <w:p>
      <w:r>
        <w:rPr>
          <w:b/>
        </w:rPr>
        <w:t>E. 3.2</w:t>
      </w:r>
    </w:p>
    <w:p>
      <w:r>
        <w:t>Im vorliegenden Fall ist die Veranlagung unbestrittenermassen rechtskräftig geworden. Umstritten ist aber zunächst, ob sie überhaupt unvollständig erfolgt ist. Der Beschwerdegegner macht nämlich geltend, der Liquidationserlös sei erst im Bemessungsjahr 1997 angefallen. Vor April 1997 seien keine Vermögenswerte an die Aktionäre verteilt worden noch habe ein bestimmter und konkreter Rechtsanspruch auf die Wertschriften bestanden.</w:t>
      </w:r>
    </w:p>
    <w:p>
      <w:r>
        <w:rPr>
          <w:b/>
        </w:rPr>
        <w:t>E. 3.2.1</w:t>
      </w:r>
    </w:p>
    <w:p>
      <w:r>
        <w:t>Ein Einkommen gilt grundsätzlich steuerrechtlich als in jenem Zeitpunkt erzielt, in welchem der Steuerpflichtige eine Leistung vereinnahmt oder einen festen Anspruch darauf erwirbt. Der steuerrechtlich massgebliche Einkommensanfall erfolgt dabei auf den Zeitpunkt des Übergangs der wirtschaftlichen Verfügungsmacht. Die Fälligkeit einer Leistung oder deren tatsächliche Erfüllung ist somit nicht zwingend Voraussetzung des Einkommenszuflusses. Auf den Zeitpunkt des tatsächlichen Eingangs ist nur dort abzustellen, wo ein solcher vorher unsicher erscheint (vgl. BGE 113 Ib 23 E. 2e S. 26; 105 Ib 238 E. 4a S. 242; Urteile des Bundesgerichts 2A.67/1997 vom 14. Oktober 1998 in StR 54/1999 S. 196 E. 5b und 2P.14/1998 vom 3. Juli 1998 in RDAF 1998 2 374 E. 3a; Peter Locher, Kommentar zum DBG, I. Teil, Therwil/Basel 2001, N 18 ff. zu Art. 16; Markus Reich, in: Zweifel/Athanas [Hrsg.], Kommentar zum schweizerischen Steuerrecht, Bd. I/2a, Bundesgesetz über die direkte Bundessteuer [DBG], Art. 1-82, Basel/Genf/München 2000, N 34 ff. zu Art. 16).</w:t>
      </w:r>
    </w:p>
    <w:p>
      <w:r>
        <w:rPr>
          <w:b/>
        </w:rPr>
        <w:t>E. 3.2.2</w:t>
      </w:r>
    </w:p>
    <w:p>
      <w:r>
        <w:t>Im vorliegenden Fall handelte es sich um eine Verteilung eines Liquidationsüberschusses im Verfahren nach Art. 745 Abs. 3 OR , weshalb der Beschwerdegegner den Anspruch auf seinen Liquidationsanteil grundsätzlich im Zeitpunkt der Bestätigung durch den Revisor erwarb. Am 17. Mai 1996 erging der Beschluss über die Auflösung der X.________ AG. Am 12. September 1996 genehmigte der Revisor die Liquidation und die Verteilung des entsprechenden Überschusses an die Aktionäre, womit die dreimonatige Frist von Art. 745 Abs. 3 OR eingehalten war. In den Akten liegt ein Verzeichnis der aus der Liquidation der X.________ AG angefallenen Wertschriften mit dem (grammatikalisch fehlerhaft formulierten) Titel "Verteilung der Wertschriftenverzeichnis per 30. September 1996". Gemäss späterer Meldung an die Eidgenössische Steuerverwaltung im Meldeverfahren bei der Verrechnungssteuer wurde der Anspruch als am 16. Oktober 1996 fällig geworden bezeichnet. Ob dieser am 12. September oder erst am 16. Oktober 1996 entstand, ist nicht von Belang. Spätestens am zweiten Termin stand der Anteil des Beschwerdegegners am Liquidationsüberschuss betragsmässig fest, und er war damals als solcher auch einforderbar. Damit war der Liquidationsanteil im Bemessungsjahr 1996 als Einkommen steuerbar.</w:t>
      </w:r>
    </w:p>
    <w:p>
      <w:r>
        <w:rPr>
          <w:b/>
        </w:rPr>
        <w:t>E. 3.2.3</w:t>
      </w:r>
    </w:p>
    <w:p>
      <w:r>
        <w:t>Da der Beschwerdegegner den Überschuss aus der Liquidation der X.________ AG nicht als Wertschriftenertrag bzw. als Einkommen im Bemessungsjahr 1996 ausgewiesen und die Steuerbehörde in der Folge einen solchen nicht als Einkommen veranlagt hat, steht somit fest, dass die Veranlagung unvollständig geblieben ist. Zu prüfen bleibt freilich, ob der fragliche Liquidationsüberschuss der Steuerbehörde im Sinne von Art. 151 Abs. 1 DBG bekannt war bzw. ihr allenfalls erkennbar gewesen wäre.</w:t>
      </w:r>
    </w:p>
    <w:p>
      <w:r>
        <w:rPr>
          <w:b/>
        </w:rPr>
        <w:t>E. 3.3</w:t>
      </w:r>
    </w:p>
    <w:p>
      <w:r>
        <w:t>Bei der Beantwortung der Frage, ob neue Tatsachen oder Beweismittel schon zur Zeit der Veranlagung vorlagen, ist der Aktenstand in diesem Zeitpunkt massgeblich (Urteil des Bundesgerichts 2A.187/2000 vom 3. November 2000). Ein Verschulden des Steuerpflichtigen ist nicht erforderlich (vgl. etwa Agner/ Jung/Steinmann, Kommentar zum Bundesgesetz über die direkte Bundessteuer, Zürich 1995, S. 439; Blumenstein/Locher, System des schweizerischen Steuerrechts, 6. Aufl., Zürich 2002, S. 345). Im Übrigen kommt es entscheidend auf die Würdigung der jeweiligen Pflichten des Steuerpflichtigen und der Steuerbehörde bei der Veranlagung an. Dabei stehen die Prinzipien der objektiven Gesetzmässigkeit und der Rechtsgleichheit in einem Spannungsfeld zum Grundsatz der Rechtssicherheit und zum Vertrauensprinzip. Dieses Spannungsfeld soll nach der Regel von Art. 151 DBG aufgelöst werden, wobei das Gesetz allerdings auslegungsbedürftig ist.</w:t>
      </w:r>
    </w:p>
    <w:p>
      <w:r>
        <w:rPr>
          <w:b/>
        </w:rPr>
        <w:t>E. 3.3.1</w:t>
      </w:r>
    </w:p>
    <w:p>
      <w:r>
        <w:t>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unter anderem Verzeichnisse über sämtliche Wertschriften, Forderungen und Schulden ( Art. 125 Abs. 1 lit. c DBG ). Der Steuerpflichtige trägt dabei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w:t>
      </w:r>
    </w:p>
    <w:p>
      <w:r>
        <w:rPr>
          <w:b/>
        </w:rPr>
        <w:t>E. 3.3.2</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(Urteil des Bundesgerichts 2A.187/2000 vom 3. November 2000) oder im Steuerdossier nach ergänzenden Unterlagen zu suchen. Die Steuerbehörde darf freilich auch nicht unbesehen in der Art auf die Steuererklärung abstellen, wie wenn es sich um eine Selbstveranlagung handeln würde. Die Steuerbehörde muss insbesondere berücksichtigen, dass in die Steuerdeklarationsformulare nicht nur Tatsachen einzutragen sind, sondern sich dabei auch eigentliche Rechtsfragen stellen (vgl. dazu Blumenstein/Locher, a.a.O., S. 345; Klaus A. Vallender, a.a.O., N 7 ff. zu Art. 151; Ders., in: Zweifel/Athanas [Hrsg.], Kommentar zum schweizerischen Steuerrecht, Bd. I/1, Bundesgesetz über die Harmonisierung der direkten Steuern der Kantone und Gemeinden [StHG], 2. Aufl., Basel/Genf/München 2002, N 8 zu Art. 53).</w:t>
      </w:r>
    </w:p>
    <w:p>
      <w:r>
        <w:rPr>
          <w:b/>
        </w:rPr>
        <w:t>E. 3.3.3</w:t>
      </w:r>
    </w:p>
    <w:p>
      <w:r>
        <w:t>Nicht gefestigt ist, was gilt, wenn die Veranlagungsbehörde einen nicht eindeutigen oder unvollständigen Sachverhalt ungeklärt liess und die auf derart unsicherer Grundlage getroffenen Annahmen sich nachträglich als unzutreffend herausstellen (vgl. Vallender, a.a.O., N 9 zu Art. 151). Eine Pflicht zu ergänzender Untersuchung besteht für die Steuerbehörden aber auch diesfalls nur dann, wenn die Steuererklärung Fehler enthält, die klar ersichtlich bzw. offensichtlich sind. Bloss erkennbare Mängel genügen nicht, dass davon ausgegangen werden muss, bestimmte Tatsachen oder Beweismittel seien den Behörden schon zur Zeit der Veranlagung bekannt gewesen bzw. es müsse diesen ein entsprechendes Wissen angerechnet werden.</w:t>
      </w:r>
    </w:p>
    <w:p>
      <w:r>
        <w:rPr>
          <w:b/>
        </w:rPr>
        <w:t>E. 3.4</w:t>
      </w:r>
    </w:p>
    <w:p>
      <w:r>
        <w:t>Im der Steuererklärung beigelegten Wertschriftenverzeichnis (auf S. 4) hatte der Beschwerdegegner acht Aktien der X.________ AG mit einem Steuerwert per 1. Januar 1997 von Fr. 502'400.-- und einem Bruttoertrag von je Fr. 10'000.-- für die Jahre 1995 und 1996 deklariert. Weiter aufgeführt waren sechs verschiedene Kategorien von Wertpapieren mit ihren jeweiligen Steuerwerten per 1. Januar 1997, welche mit dem Zusatz "aus Liq. X.________ AG (sh. Beiblatt)" versehen waren. Beigelegt waren einerseits Belege für die deklarierten Bruttoerträge von jährlich Fr. 10'000.-- sowie ein separates detailliertes Verzeichnis mit dem (grammatikalisch fehlerhaften) Titel "X.________ AG in Liquidation; Verteilung der Wertschriftenverzeichnis per 30. September 1996" und dem handschriftlichen Vermerk "zu S. 4 WV".</w:t>
      </w:r>
    </w:p>
    <w:p>
      <w:r>
        <w:rPr>
          <w:b/>
        </w:rPr>
        <w:t>E. 3.4.1</w:t>
      </w:r>
    </w:p>
    <w:p>
      <w:r>
        <w:t>Der Beschwerdegegner hat weder die Beteiligung an der X.________ AG noch die Liquidation als solche noch die aus der Liquidation hervorgegangenen bzw. ihm übertragenen Wertschriften verheimlicht. Er hat diese Tatsachen im Gegenteil ausdrücklich im Wertschriftenverzeichnis aufgeführt und diesem entsprechende Belege beigelegt. Er hat es freilich unterlassen, den Liquidationserlös in der Steuererklärung als Einkommen zu deklarieren. In der Wegleitung zur Steuererklärung 1997/98 wird in Ziff. 4.1 unter anderem ausgeführt:</w:t>
      </w:r>
    </w:p>
    <w:p>
      <w:r>
        <w:t>"Als Zinsen und Gewinnanteile gelten auch die in Form von Gratisaktien, Gratisobligationen, Gratisliberierungen, Liquidationsüberschüssen oder in irgend einer anderen Form enthaltenen geldwerten Leistungen aus Guthaben und Beteiligungen, die rechtlich keine Rückzahlung eines Kapitalguthabens oder Kapitalanteils darstellen."</w:t>
      </w:r>
    </w:p>
    <w:p>
      <w:r>
        <w:t>In einem von der Steuerbehörde angerufenen Schreiben der U.________ Treuhand AG an den Beschwerdegegner vom 7. Februar 1997 findet sich folgende Passage:</w:t>
      </w:r>
    </w:p>
    <w:p>
      <w:r>
        <w:t>"Wir bitten Sie zu beachten, dass jegliche Erträge ab 1.10.96 in Ihrer privaten Steuererklärung zu deklarieren sind und entsprechend durch Sie die Verrechnungssteuer rückforderbar ist. Gleichzeitig sind die Ihnen zugeteilten Aktien per 1.1.97 im Vermögen anzugeben."</w:t>
      </w:r>
    </w:p>
    <w:p>
      <w:r>
        <w:t>Zwar ist dem Beschwerdegegner teilweise zugute zu halten, dass es nicht offensichtlich ist, von welchem massgeblichen Zeitpunkt bei einem Liquidationsanteil, wie er im vorliegenden Fall zur Diskussion steht, steuerrechtlich auszugehen ist. Aufgrund der allfälligen Unsicherheit hätte er aber an die Steuerbehörden gelangen können und müssen und nicht einfach auf eine Deklaration des Liquidationsüberschusses als Einkommen verzichten dürfen. Der Beschwerdegegner hat somit seine gesetzlichen Pflichten bei der Steuererklärung nicht erfüllt.</w:t>
      </w:r>
    </w:p>
    <w:p>
      <w:r>
        <w:rPr>
          <w:b/>
        </w:rPr>
        <w:t>E. 3.4.2</w:t>
      </w:r>
    </w:p>
    <w:p>
      <w:r>
        <w:t>Die Steuerbehörde hat bei der Bearbeitung der Steuererklärung bei der Verbuchung der Aktien der X.________ AG den Vermerk "in Liq." beigefügt und den Steuerwert gestrichen und vom Gesamtergebnis abgezogen. Bei den aus der Liquidation hervorgegangenen Aktien hat sie ergänzt: "per 30.9.96". Zudem finden sich Kontrollvermerke auf dem separaten Verzeichnis der aus der Liquidation der X.________ AG hervorgegangenen Wertschriften. Dem zuständigen Steueramt waren somit sowohl die Beteiligung des Beschwerdegegners an der X.________ AG als auch der Umstand, dass sich diese in Liquidation befand, bekannt. Die Veranlagungsbehörde hatte sogar Kenntnis von der vorgesehenen Verteilung. Sie konnte jedoch nicht wissen, dass die Liquidation vollendet und der daraus hervorgegangene Erlös dem Beschwerdegegner zugeflossen war. Der Beschwerdegegner hatte sie auch in keiner Art darauf aufmerksam gemacht. Im Gegenteil hatte er den Liquidationsanteil beim Vermögen und gerade nicht beim Einkommen deklariert, womit der Schein erweckt wurde, der Überschuss sei noch nicht verteilt worden bzw. es sei noch kein Anspruch darauf entstanden. Damit erweist sich der Tatbestand von Art. 151 Abs. 2 DBG , wonach eine Nachbesteuerung ausgeschlossen ist, wenn der Steuerpflichtige richtig deklariert und die Steuerbehörde die Bewertung anerkannt hat, als nicht erfüllt.</w:t>
      </w:r>
    </w:p>
    <w:p>
      <w:r>
        <w:rPr>
          <w:b/>
        </w:rPr>
        <w:t>E. 3.4.3</w:t>
      </w:r>
    </w:p>
    <w:p>
      <w:r>
        <w:t>Darüber hinaus war die Veranlagungsbehörde auch nicht verpflichtet, im Dossier ergänzend nachzuprüfen, ob ein Meldeformular oder sonstige aufschlussreiche Unterlagen vorhanden waren. Hätte die Steuerbehörde allerdings das Dossier des Beschwerdegegners konsultiert, wäre sie auf die Meldung der Eidgenössischen Steuerverwaltung vom 25. März 1997 gestossen. Diese ist gemäss entsprechendem Vermerk am 21. Oktober 1997 und damit vor Abschluss des Veranlagungsverfahrens am 26. Februar 1998 eingegangen. Der Beschwerdegegner bzw. die damals für ihn handelnde Treuhandgesellschaft hat im vorliegenden Fall ein solches Gesuch für einen Liquidationsüberschuss im Betrag von Fr. 458'956.-- gestellt, und diesem Gesuch ist von der Eidgenössischen Steuerverwaltung stattgegeben worden. Darüber erhielt das für die Veranlagung der Einkommenssteuer zuständige Steueramt an sich rechtzeitig Meldung. Da es jedoch aufgrund des Fehlens der Deklaration des Liquidationserlöses als Einkommen in der Steuererklärung zu keinen entsprechenden Nachforschungen verpflichtet war, darf dem Steueramt das mögliche Wissen um das Meldeformular nicht entgegengehalten werden.</w:t>
      </w:r>
    </w:p>
    <w:p>
      <w:r>
        <w:rPr>
          <w:b/>
        </w:rPr>
        <w:t>E. 3.5</w:t>
      </w:r>
    </w:p>
    <w:p>
      <w:r>
        <w:t>Demnach handelt es sich beim fraglichen Liquidationserlös des Beschwerdegegners nicht um eine der Steuerbehörde bekannte Tatsache bzw. um eine solche, deren Kenntnis sich das Steueramt anrechnen lassen muss. Der Beschwerdegegner durfte aus der unvollständigen Veranlagung folglich auch nicht ableiten, dass die Steuerbehörde den Liquidationsüberschuss als nicht steuerbar erachtete. Damit ist eine Nachsteuer zu erheben, und das angefochtene Urteil verletzt insoweit Bundesrecht.</w:t>
      </w:r>
    </w:p>
    <w:p>
      <w:r>
        <w:rPr>
          <w:b/>
        </w:rPr>
        <w:t>E. 4.1</w:t>
      </w:r>
    </w:p>
    <w:p>
      <w:r>
        <w:t>Nach Art. 175 Abs. 1 DBG wird unter anderem mit Busse bestraft, wer als Steuerpflichtiger vorsätzlich oder fahrlässig bewirkt, dass eine Veranlagung zu Unrecht unterbleibt oder dass eine rechtskräftige Veranlagung unvollständig ist.</w:t>
      </w:r>
    </w:p>
    <w:p>
      <w:r>
        <w:rPr>
          <w:b/>
        </w:rPr>
        <w:t>E. 4.2</w:t>
      </w:r>
    </w:p>
    <w:p>
      <w:r>
        <w:t>Der objektive Tatbestand der vollendeten Steuerhinterziehung setzt voraus, dass aufgrund des Verhaltens des Steuerpflichtigen eine Veranlagung überhaupt unterbleibt oder eine rechtskräftige Veranlagung sich als unvollständig erweist (vgl. dazu Agner/Jung/Steinmann, Kommentar zum Gesetz über die direkte Bundessteuer, Zürich 1995, Art. 175, N 1 ff., S. 474 ff.; Agner/Digeronimo/ Neuhaus/Steinmann, Kommentar zum Gesetz über die direkte Bundessteuer, Ergänzungsband, Zürich 2000, Art. 175, N 2 ff., S. 333 ff.; Blumenstein/Locher, a.a.O., S. 363 f.; Höhn/Waldburger, Steuerrecht, Bd. I, 9. Aufl., Bern/Stuttgart/ Wien 2001, S. 1009 ff., § 38, N 9 ff.; Roman Sieber, in: Zweifel/Athanas [Hrsg.], Kommentar zum schweizerischen Steuerrecht, Bd. I/1, Bundesgesetz über die Harmonisierung der direkten Steuern der Kantone und Gemeinden [StHG], 2. Aufl., Basel/Genf/München 2002, N 6 ff. zu Art. 56).</w:t>
      </w:r>
    </w:p>
    <w:p>
      <w:r>
        <w:rPr>
          <w:b/>
        </w:rPr>
        <w:t>E. 4.3</w:t>
      </w:r>
    </w:p>
    <w:p>
      <w:r>
        <w:t>Der subjektive Tatbestand der vollendeten Steuerhinterziehung setzt Vorsatz oder Fahrlässigkeit voraus (Agner/Jung/Steinmann, a.a.O., Art. 175, N 2 f., S. 475; Agner/Digeronimo/Neuhaus/Steinmann, a.a.O., Art. 175, N 2.3 , S. 336; Höhn/Waldburger, a.a.O., S. 1014, § 38, N 19 ; Sieber, a.a.O., N 18 zu Art. 56).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mit Hinweisen; Urteil 2A.187/2000 vom 3. November 2000, E. 3c/bb).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(vgl. Art. 18 Abs. 3 StGB ).</w:t>
      </w:r>
    </w:p>
    <w:p>
      <w:r>
        <w:rPr>
          <w:b/>
        </w:rPr>
        <w:t>E. 4.4</w:t>
      </w:r>
    </w:p>
    <w:p>
      <w:r>
        <w:t>In objektiver Hinsicht erging aufgrund der unvollständigen Steuererklärung des Beschwerdegegners eine ungenügende Veranlagung, welche rechtskräftig geworden ist.</w:t>
      </w:r>
    </w:p>
    <w:p>
      <w:r>
        <w:rPr>
          <w:b/>
        </w:rPr>
        <w:t>E. 4.5</w:t>
      </w:r>
    </w:p>
    <w:p>
      <w:r>
        <w:t>In subjektiver Hinsicht ergibt sich, dass der Beschwerdegegner als Kaufmann tätig und im fraglichen Zeitpunkt rund 62 Jahre alt war. Die Steuererklärung hat er allein und ohne Beizug einer Fachperson ausgefüllt. Das mit der Steuererklärung eingereichte Wertschriftenverzeichnis enthält eine recht grosse Anzahl von Wertschriften, woraus geschlossen werden kann, dass der Beschwerdegegner eine gewisse Übung beim Kauf und Verkauf entsprechender Wertpapiere aufweist. Nur schon deswegen hätte er Grund zur Annahme haben müssen, dass der Erlös aus der Liquidation einer Gesellschaft bei der direkten Bundessteuer als Einkommen zu deklarieren ist. Überdies fällt auf, dass der Beschwerdegegner keine Schwierigkeiten hatte, das Meldeverfahren bei der Verrechnungssteuer einzuleiten bzw. einleiten zu lassen, obwohl sich für die entsprechende steuerliche Behandlung eines Liquidationsüberschusses zumindest vergleichbar komplexe Fragen stellen wie bei der Veranlagung für die direkte Bundessteuer; gleichzeitig nahm er damit freilich auch ein gewisses Risiko auf sich, dass nicht nur die Eidgenössische Steuerverwaltung, sondern vermutlich auch die kantonale und kommunale Steuerbehörde davon Kenntnis erhalten würden. Mit der Genehmigung des Meldeverfahrens wurden indessen auch allfällige Unklarheiten über den Liquidationserlös beseitigt. Trotzdem hat der Beschwerdegegner diesen Überschuss, der mit Fr. 458'956.-- immerhin einen sehr ansehnlichen Betrag umfasste, in der Steuererklärung nicht als Einkommen deklariert. Er hat sich damit zumindest eine Sorgfaltspflichtverletzung zuschulden kommen lassen, womit sein Verschulden erstellt ist.</w:t>
      </w:r>
    </w:p>
    <w:p>
      <w:r>
        <w:rPr>
          <w:b/>
        </w:rPr>
        <w:t>E. 4.6</w:t>
      </w:r>
    </w:p>
    <w:p>
      <w:r>
        <w:t>Der Beschwerdegegner hat sich demnach der vollendeten Steuerhinterziehung schuldig gemacht, weshalb der angefochtene Entscheid auch insoweit Bundesrecht verletzt.</w:t>
      </w:r>
    </w:p>
    <w:p>
      <w:r>
        <w:rPr>
          <w:b/>
        </w:rPr>
        <w:t>E. 5.1</w:t>
      </w:r>
    </w:p>
    <w:p>
      <w:r>
        <w:t>Damit ist die Verwaltungsgerichtsbeschwerde gutzuheissen, und der angefochtene Entscheid muss aufgehoben werden. Gleichzeitig sind die im Ergebnis zutreffenden Einspracheentscheide der Steuerkommission für übrige natürliche Personen und der Kantonalen Steuerverwaltungskommission Nidwalden vom 5. Juni 2000 zu bestätigen. Dabei ist namentlich nicht ersichtlich, dass die im Einspracheentscheid ausgefällte Busse hinsichtlich ihrer Höhe dem Bundesrecht widersprechen würde.</w:t>
      </w:r>
    </w:p>
    <w:p>
      <w:r>
        <w:rPr>
          <w:b/>
        </w:rPr>
        <w:t>E. 5.2</w:t>
      </w:r>
    </w:p>
    <w:p>
      <w:r>
        <w:t>Bei diesem Verfahrensausgang sind die bundesgerichtlichen Kosten dem unterliegenden Beschwerdegegner aufzuerlegen (Art. 156 Abs. 1, Art. 153 und 153a OG ). Eine Parteientschädigung ist nicht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