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2A.180/2004 vom 8. April 2004</w:t>
      </w:r>
    </w:p>
    <w:p>
      <w:r>
        <w:t>Bundesgericht, 2004-04-08, DE</w:t>
      </w:r>
    </w:p>
    <w:p>
      <w:r>
        <w:rPr>
          <w:b/>
        </w:rPr>
        <w:t xml:space="preserve">Quelle: </w:t>
      </w:r>
      <w:r>
        <w:t>https://mcp.opencaselaw.ch/entscheid/bger_2A.180_2004</w:t>
      </w:r>
    </w:p>
    <w:p>
      <w:r>
        <w:t>FR: TF 2A.180/2004 du 8 avril 2004</w:t>
      </w:r>
    </w:p>
    <w:p>
      <w:r>
        <w:t>IT: TF 2A.180/2004 del 8 aprile 2004</w:t>
      </w:r>
    </w:p>
    <w:p>
      <w:pPr>
        <w:pStyle w:val="Heading2"/>
      </w:pPr>
      <w:r>
        <w:t>Erwägungen</w:t>
      </w:r>
    </w:p>
    <w:p>
      <w:r>
        <w:rPr>
          <w:b/>
        </w:rPr>
        <w:t>E. 1</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c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richterlichen Behörde, welche aufgrund einer mündlichen Verhandlung über deren Rechtmässigkeit und Angemessenheit befindet (vgl. Art. 13c Abs. 2 ANAG ), um höchstens sechs Monate verlängert werden ( Art. 13b Abs. 2 ANAG ); die Ausschaffungshaft darf damit maximal neun Monate dauern. Die Haft ist zu beenden, wenn sich erweist, dass der Vollzug der Wegweisung aus rechtlichen oder tatsächlichen Gründen undurchführbar ist ( Art. 13c Abs. 5 lit. a ANAG ), d.h. wenn nicht mehr ernsthaft damit gerechnet werden kann, dass sich die Ausschaffung innert der maximal möglichen Haftdauer bewerkstelligen lässt. Die für den Vollzug der Weg- oder Ausweisung notwendigen Vorkehrungen sind umgehend zu treffen ( Art. 13b Abs. 3 ANAG ; Beschleunigungsgebot).</w:t>
      </w:r>
    </w:p>
    <w:p>
      <w:r>
        <w:rPr>
          <w:b/>
        </w:rPr>
        <w:t>E. 2</w:t>
      </w:r>
    </w:p>
    <w:p>
      <w:r>
        <w:t>Die Beschwerdeführerin stellt nicht in Abrede, dass sie aus der Schweiz weggewiesen worden ist. Der im Asylverfahren ergangene Wegweisungsentscheid erweist sich weder als augenfällig unzulässig noch als offensichtlich falsch, so dass er für den Haftrichter verbindlich ist ( BGE 128 II 193 E. 2.2.2 S. 198). Die Beschwerdeführerin erfüllt aufgrund ihres bisherigen Verhaltens (Besitz verfälschter Papiere, erklärter Widerstand gegen eine Ausreise nach Kamerun) sodann nach wie vor den Haftgrund der Untertauchensgefahr nach Art. 13b Abs. 1 lit. c ANAG . Das Beschleunigungsgebot erscheint ebenfalls nicht verletzt, zumal die Beschwerdeführerin noch am 26. Februar 2004 der kamerunischen Vertretung in Genf vorgeführt und dort als Staatsangehörige Kameruns anerkannt worden ist. Weil die kamerunische Vertretung bei dieser Gelegenheit X.________ aber kein "Laissez-Passer" ausstellen und sie (gemäss einem Schreiben der Abteilung Vollzugsunterstützung vom 27. Februar 2004) offenbar erst "in drei Monaten" wieder vorladen wollte, macht die Beschwerdeführerin geltend, der Wegweisungsvollzug könne mit "an Sicherheit grenzender Wahrscheinlichkeit nicht innert der theoretisch noch verbleibenden Haftdauer realisiert werden" (S. 7 der Beschwerdeschrift).</w:t>
      </w:r>
    </w:p>
    <w:p>
      <w:r>
        <w:rPr>
          <w:b/>
        </w:rPr>
        <w:t>E. 3.1</w:t>
      </w:r>
    </w:p>
    <w:p>
      <w:r>
        <w:t>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Gerade wegen solcher Schwierigkeiten hat der Gesetzgeber die Haftdauer erheblich erhöht und die Möglichkeit der Haftverlängerung geschaffen (BBl 1994 I 305 ff. S. 316; BGE 125 II 217 E. 2 S. 220).</w:t>
      </w:r>
    </w:p>
    <w:p>
      <w:r>
        <w:rPr>
          <w:b/>
        </w:rPr>
        <w:t>E. 3.2</w:t>
      </w:r>
    </w:p>
    <w:p>
      <w:r>
        <w:t>Wie es sich mit der Durchführbarkeit des Wegweisungsvollzugs im Einzelnen verhält, bildet Gegenstand einer nach pflichtgemässem Ermessen vorzunehmenden Prognose (Andreas Zünd, Die Rechtsprechung des Bundesgerichts zu den Zwangsmassnahmen im Ausländerrecht, in: ZBJV 132/1996 S. 72 ff., dort S. 90). Massgebend ist, ob die Ausschaffung mit hinreichender Wahrscheinlichkeit innert absehbarer Zeit möglich sein wird oder nicht. Die Haft ist dann unverhältnismässig und damit auch unzulässig, wenn triftige Gründe für die Undurchführbarkeit des Vollzugs sprechen oder praktisch feststeht, dass er sich innert vernünftiger Frist kaum wird realisieren lassen (vgl. zur Publikation vorgesehenes Urteil 2A.611/2003 vom 30. Januar 2004, E. 4.1.3, BGE 127 II 168 E. 2c S. 172; 125 II 217 E. 2; 122 II 148 E. 3 S. 152 f.).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 BGE 125 II 217 E. 2 S. 220; Wurzburger, a.a.O., S. 330 f.). Nur falls keine oder bloss eine höchst unwahrscheinliche, rein theoretische Möglichkeit besteht, die Wegweisung zu vollziehen, ist die Haft aufzuheben, nicht indessen bei einer ernsthaften, wenn auch allenfalls (noch) geringen Aussicht hierauf ( BGE 127 II 168 E. 2c S. 172; Urteil 2A.312/2003 [Nigeria] und 2A.328/2003 [Kamerun] vom 17. bzw. 22. Juli 2003, E. 2.1). Eine Beeinträchtigung der öffentlichen Ordnung durch den Betroffenen vorbehalten, welche die Verhältnismässigkeit der Aufrechterhaltung der Haft wegen eines überwiegenden öffentlichen Interesses in einem anderen Licht erscheinen lassen kann (vgl. Urteile 2A.230/2003 vom 2. Juni 2003, E. 2.1, und 2A.269/1999 vom 10. Juni 1999, E. 2), ist dabei nicht notwendigerweise auf die maximale Haftdauer, sondern vielmehr auf einen den gesamten Umständen des konkreten Falles angemessenen Zeitraum abzustellen (vgl. zur Publikation vorgesehenes Urteil 2A.611/2003, E. 4.1.3 und dort zitierte Hinweise).</w:t>
      </w:r>
    </w:p>
    <w:p>
      <w:r>
        <w:rPr>
          <w:b/>
        </w:rPr>
        <w:t>E. 3.3</w:t>
      </w:r>
    </w:p>
    <w:p>
      <w:r>
        <w:t>Die Beschwerdeführerin beruft sich auf dieses soeben erwähnte Urteil und sieht sich aufgrund des Amtsberichts des Bundesamtes in ihren Ausführungen zur Unmöglichkeit des Wegweisungsvollzugs bestätigt.</w:t>
      </w:r>
    </w:p>
    <w:p>
      <w:r>
        <w:t>Im genannten Fall hatte die Bundesbehörde eine Ausschaffung nach Mali als "unwahrscheinlich" erachtet, zumal u.a. aufgrund einer "aggressiven" französischen Sonderflugspolitik in den letzten Monaten "eine sehr hohe Sensibilität der Öffentlichkeit in Mali" bestehe und der amtierende Präsident mehrmals "öffentlich seine Meinung gegen unfreiwillige Rückführungen kund getan" habe. Bis auf weiteres seien daher keine Sonderflüge nach Mali mehr geplant (genanntes Urteil, E. 4.2.2). Das Bundesgericht kam nach Kenntnisnahme dieses Amtsberichts zum Schluss, dass unter solchen Umständen die Fortsetzung einer Ausschaffungshaft unverhältnismässig erscheine (genanntes Urteil, E. 4.3.3).</w:t>
      </w:r>
    </w:p>
    <w:p>
      <w:r>
        <w:rPr>
          <w:b/>
        </w:rPr>
        <w:t>E. 3.4</w:t>
      </w:r>
    </w:p>
    <w:p>
      <w:r>
        <w:t>Momentan ist auch ein Sonderflug nach Kamerun nicht möglich, zumal Sonderflüge einer ausdrücklichen Bewilligung des kamerunischen Aussenministeriums bedürfen. Die Erteilung einer solchen Bewilligung bildet zur Zeit aber Gegenstand von konkreten Verhandlungen (vgl. Amtsbericht vom 31. März 2004, S. 1). Sodann stösst das Erhältlichmachen von Reisepapieren für nicht rückreisewillige kamerunische Staatsangehörige beim kamerunischen Konsulat zwar auf Schwierigkeiten, ist aber nach den Ausführungen des Bundesamtes nicht generell ausgeschlossen. Auch wenn die Durchführbarkeit einer zwangsweisen Ausschaffung der Beschwerdeführerin heute relativ ungewiss erscheint, so kann - anders als im Fall 2A.611/2003 - nicht von zum Vornherein unüberwindlichen Hindernissen gesprochen werden, die dem Wegweisungsvollzug innert gesetzlicher Frist entgegen stehen.</w:t>
      </w:r>
    </w:p>
    <w:p>
      <w:r>
        <w:rPr>
          <w:b/>
        </w:rPr>
        <w:t>E. 4</w:t>
      </w:r>
    </w:p>
    <w:p>
      <w:r>
        <w:t>Die angeordnete Verlängerung der Ausschaffungshaft erweist sich auch nicht als unverhältnismässig. Die Beschwerdeführerin stellt nach der Aktenlage zwar keine Bedrohung der öffentlichen Ordnung und Sicherheit dar. Sie hat aber - anders als der im mehrfach erwähnten Vergleichsfall 2A.611/2003 Betroffene (geplante Liierung mit einer Schweizer Bürgerin) - keinerlei persönliche Verbindungen zur Schweiz. Ihre persönlichen Interessen vermögen die öffentlichen Interessen an der Aufrechterhaltung der Haft jedenfalls nicht zu überwiegen.</w:t>
      </w:r>
    </w:p>
    <w:p>
      <w:r>
        <w:rPr>
          <w:b/>
        </w:rPr>
        <w:t>E. 5</w:t>
      </w:r>
    </w:p>
    <w:p>
      <w:r>
        <w:t>Die Verlängerung der Ausschaffungshaft um drei Monate erweist sich nach dem Gesagten nicht als bundesrechtswidrig. Es obliegt den zuständigen Behörden, die Vorkehren für den Vollzug der Ausschaffung weiter zu führen. Die Zulässigkeit der Aufrechterhaltung der Haft wird vom Ergebnis dieser Bemühungen abhängen.</w:t>
      </w:r>
    </w:p>
    <w:p>
      <w:r>
        <w:rPr>
          <w:b/>
        </w:rPr>
        <w:t>E. 6</w:t>
      </w:r>
    </w:p>
    <w:p>
      <w:r>
        <w:t>Die Verwaltungsgerichtsbeschwerde ist damit als unbegründet abzuweisen.</w:t>
      </w:r>
    </w:p>
    <w:p>
      <w:r>
        <w:t>Die Beschwerdeführerin hat um unentgeltliche Prozessführung und Verbeiständung ersucht. Dem Gesuch ist vorliegend zu entsprechen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