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2A.179/2003 vom 7. August 2003</w:t>
      </w:r>
    </w:p>
    <w:p>
      <w:r>
        <w:t>Bundesgericht, 2003-08-07, DE</w:t>
      </w:r>
    </w:p>
    <w:p>
      <w:r>
        <w:rPr>
          <w:b/>
        </w:rPr>
        <w:t xml:space="preserve">Quelle: </w:t>
      </w:r>
      <w:r>
        <w:t>https://mcp.opencaselaw.ch/entscheid/bger_2A.179_2003</w:t>
      </w:r>
    </w:p>
    <w:p>
      <w:r>
        <w:t>FR: TF 2A.179/2003 du 7 août 2003</w:t>
      </w:r>
    </w:p>
    <w:p>
      <w:r>
        <w:t>IT: TF 2A.179/2003 del 7 agosto 2003</w:t>
      </w:r>
    </w:p>
    <w:p>
      <w:pPr>
        <w:pStyle w:val="Heading2"/>
      </w:pPr>
      <w:r>
        <w:t>Regeste</w:t>
      </w:r>
    </w:p>
    <w:p>
      <w:r>
        <w:t>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 BGE 128 II 145 E. 1.1.1 S. 148; 127 II 60 161 E. 1a, S. 164, je mit Hinweisen).</w:t>
      </w:r>
    </w:p>
    <w:p>
      <w:r>
        <w:rPr>
          <w:b/>
        </w:rPr>
        <w:t>E. 1.2</w:t>
      </w:r>
    </w:p>
    <w:p>
      <w:r>
        <w:t>Gemäss Art. 17 Abs. 2 Satz 3 ANAG haben ledige Kinder unter 18 Jahren Anspruch auf Einbezug in die Niederlassungsbewilligung ihrer Eltern, wenn sie mit diesen zusammen wohnen. C.________ und D.________ waren im Zeitpunkt der Gesuchseinreichung, auf den es in diesem Zusammenhang ankommt ( BGE 120 Ib 257 E. 1f S. 262), noch nicht 18 Jahre alt. Da der Beschwerdeführer die Niederlassungsbewilligung besitzt und die nachzuziehenden Kinder bei ihm wohnen sollen, besteht ein grundsätzlicher Anspruch auf Familiennachzug, weshalb die Verwaltungsgerichtsbeschwerde zulässig ist. Der Beschwerdeführer ist hierzu legitimiert ( Art. 103 lit. a OG ).</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2.1</w:t>
      </w:r>
    </w:p>
    <w:p>
      <w:r>
        <w:t>Zweck des Familiennachzugs ist es, das Leben in der Familiengemeinschaft zu ermöglichen. Der Gesetzeswortlaut ( Art. 17 Abs. 2 Satz 3 ANAG , vgl. E. 2) verdeutlicht, dass die rechtliche Absicherung des Zusammenlebens der Gesamtfamilie angestrebt wird: Verlangt ist ausdrücklich, dass die Kinder mit ihren Eltern (Plural) zusammen wohnen werden. Auch die innere Systematik von Art. 17 Abs. 2 ANAG geht vom Zusammenleben mit Mutter und Vater aus. Die Nachzugsregelung ist mithin auf Familien zugeschnitten, in denen die (leiblichen) Eltern einen gemeinsamen ehelichen Haushalt führen ( BGE 129 II 11 E. 3.1.1 S. 14; 126 II 329 E. 2a S. 330, je mit Hinweisen).</w:t>
      </w:r>
    </w:p>
    <w:p>
      <w:r>
        <w:rPr>
          <w:b/>
        </w:rPr>
        <w:t>E. 2.2</w:t>
      </w:r>
    </w:p>
    <w:p>
      <w:r>
        <w:t>Hinsichtlich der Anerkennung eines Anspruches auf nachträglichen Familiennachzug im Lichte von Art. 17 ANAG unterscheidet die bundesgerichtliche Rechtsprechung daher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des Betreuungsverhältnisses rechtfertigen müssen. Innerhalb der allgemeinen Schranken von Art. 17 Abs. 2 Satz 3 ANAG ist somit der Nachzug von gemeinsamen Kindern grundsätzlich jederzeit zulässig; vorbehalten bleibt einzig das Rechtsmissbrauchsverbot ( BGE 126 II 329 E. 3b S. 332). Hingegen ist die Praxis auf Grund der unterschiedlichen familiären Situation wesentlich restriktiver, wenn der nachträgliche Familiennachzug von Kindern getrennter bzw. geschiedener Eltern in Frage steht.</w:t>
      </w:r>
    </w:p>
    <w:p>
      <w:r>
        <w:rPr>
          <w:b/>
        </w:rPr>
        <w:t>E. 2.3</w:t>
      </w:r>
    </w:p>
    <w:p>
      <w:r>
        <w:t>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125 II 585 E. 2a S. 586). Der nachträgliche Nachzug eines Kindes setzt diesfalls voraus, dass eine vorrangige Bindung des Kindes zum in der Schweiz lebenden Elternteil nachgewiesen ist und besondere stichhaltige familiäre Gründe, zum Beispiel eine Änderung der Betreuungsmöglichkeiten, dieses Vorgehen rechtfertigen ( BGE 129 II 11 E. 3.1.3 S. 15; 126 II 329 E. 2a und 3b S. 330/332). Solche Gründe dürfen nicht leichthin bejaht werden. Es gelten hohe Beweisanforderungen (vgl. BGE 124 II 361 E. 4c S. 370/371); an den Nachweis der fehlenden Betreuungsmöglichkeit im Heimatland sind - zumal es aus integrationspolitischer Sicht nicht erwünscht ist, dass Jugendliche erst kurz vor Erreichung der Altersgrenze in die Schweiz geholt werden (Urteil 2A.34/2002 vom 22. Mai 2002, E. 3.4) - umso höhere Anforderungen zu stellen, je älter das Kind ist bzw. je grösser die ihm in der Schweiz drohenden Integrationsschwierigkeiten sind.</w:t>
      </w:r>
    </w:p>
    <w:p>
      <w:r>
        <w:rPr>
          <w:b/>
        </w:rPr>
        <w:t>E. 3.1</w:t>
      </w:r>
    </w:p>
    <w:p>
      <w:r>
        <w:t>Das Verwaltungsgericht hat erwogen, der Beschwerdeführer habe sich bei der Scheidung von seiner ersten Ehefrau zwar das Sorgerecht über seine beiden Kinder übertragen lassen. Er sei aber in die Schweiz gereist, um mit seiner zweiten Ehefrau zusammen zu leben; die Kinder seien bei der Grossmutter geblieben. In der Heimat hätten die beiden Kinder zwei Mal wöchentlich zu ihrer Mutter Kontakt, wogegen der Beschwerdeführer bisher bloss vier Mal in den Kosovo gereist sei. Die engere Beziehung bestehe daher zur Mutter. Daran habe sich auch mit dem Tod der Grossmutter nichts geändert; dies zumal deshalb, weil wohl eher die Kinder die Grossmutter betreut hätten, als umgekehrt. C.________ und D.________ bedürften keiner intensiven Betreuung mehr; sie würden im Kosovo zur Schule gehen und seien dort verwurzelt. Es bestehe kein Anlass, dies zu ändern.</w:t>
      </w:r>
    </w:p>
    <w:p>
      <w:r>
        <w:rPr>
          <w:b/>
        </w:rPr>
        <w:t>E. 3.2</w:t>
      </w:r>
    </w:p>
    <w:p>
      <w:r>
        <w:t>Der Beschwerdeführer macht geltend, auf den Todesfall der Grossmutter habe er sogleich reagiert und den Nachzug seiner Kinder wegen der Änderung der Betreuungssituation beantragt. Müssten C.________ und D.________ im Kosovo bleiben, so käme als einzig denkbare Betreuungsperson seine Schwägerin in Frage, welche ihrerseits sieben Kinder habe und aufgrund dieser Situation keine adäquate Hilfe bieten könne. In der Schweiz hingegen könnten die Kinder zusammen mit ihm aufwachsen, lebe er doch zusammen mit seiner Schwester, die ihrerseits drei Kinder habe, im gleichen Haushalt. Die sporadischen Kontakte zur Mutter vermöchten keine vergleichbare Lösung darzustellen; der Nachzug sei für das Kindeswohl deshalb erforderlich. Er, der Beschwerdeführer, habe alle seine Ferien bei den Kindern verbracht und ständigen Kontakt zu ihnen gewahrt, wobei er sie auch finanziell unterstützt habe.</w:t>
      </w:r>
    </w:p>
    <w:p>
      <w:r>
        <w:rPr>
          <w:b/>
        </w:rPr>
        <w:t>E. 3.3</w:t>
      </w:r>
    </w:p>
    <w:p>
      <w:r>
        <w:t>Aufgrund des angefochtenen Urteils ist nicht ganz klar, durch wen die beiden Kinder des Beschwerdeführers bisher betreut worden sind. Sie lebten bei ihrer Grossmutter väterlicherseits, welche im Jahre 2002 gestorben ist (vgl. die Stellungnahme des Beschwerdeführers vom 3. September 2002: "Meine Mutter [Grossmutter der Kinder] war alleine im Haus. So musste jemand bei ihr sein. Deshalb blieben die Kinder bei der Grossmutter"). Sie hatten zudem - wie heute auch noch - regelmässigen Kontakt zu ihrer Mutter und zu einer Tante, was der Beschwerdeführer selber zugesteht. Die Feststellung im angefochtenen Urteil, wonach eher die Kinder die Grossmutter betreut haben als umgekehrt, wird in der Beschwerdeschrift (welche einräumt, dass ein Zusammenleben auch anderen Zwecken dienen kann als der Betreuung, [vgl. S. 7]) nicht ernsthaft bestritten. Die Annahme des Verwaltungsgerichts, wonach der Tod der Grossmutter die Betreuungssituation für die beiden damals 14- bzw. 17-jährigen Kinder nicht entscheidend verändert habe, lässt sich insoweit nicht beanstanden, auch wenn nicht restlos klar ist, durch wen die Betreuung der Kinder in ihrem Heimatland bisher erfolgte und wie sie seit dem Tod der Grossmutter weiterhin wahrgenommen wird bzw. werden kann. Immerhin erwähnt der Beschwerdeführer selber seine Schwägerin als in Frage kommende Betreuungsperson (vgl. S. 6 der Beschwerdeschrift), und er antwortete auf die Frage, ob seine Kinder noch Kontakt zu ihrer leiblichen Mutter hätten, mit "Ja (2x die Woche)". Dass eine altersgerechte Betreuung von C.________ und D.________ in ihrem Heimatland nicht mehr sichergestellt wäre, ist jedenfalls nicht dargetan. Sache des Beschwerdeführers wäre es gewesen, darzulegen, weshalb die Notwendigkeit eines nachträglichen Familiennachzuges zum ausgewanderten Vater gegeben sein soll. Die Anforderungen an die Stichhaltigkeit der Gründe sind umso höher, je fortgeschrittener das Alter der nachzuziehenden Kinder ist (vgl. E. 2.3). Die kantonale Behörde weist in diesem Zusammenhang im Übrigen zu Recht darauf hin, dass die Integration von C.________ und D.________ aufgrund ihres Alters auf erhebliche Schwierigkeiten stossen dürfte. Der Schluss des Verwaltungsgerichts, es sei keine Änderung der Betreuungsverhältnisse dargetan, welche den Nachzug der beiden Kinder rechtfertigen könne, lässt sich nach dem Gesagten nicht beanstanden. Dass der Beschwerdeführer seinerzeit formell das Sorgerecht über die Kinder erhalten hatte, kann nicht entscheidend sein, nachdem er die tatsächliche Betreuung während langer Zeit nicht selber wahrgenommen hat.</w:t>
      </w:r>
    </w:p>
    <w:p>
      <w:r>
        <w:rPr>
          <w:b/>
        </w:rPr>
        <w:t>E. 4</w:t>
      </w:r>
    </w:p>
    <w:p>
      <w:r>
        <w:t>Art. 8 Ziff. 1 EMRK , der den Schutz des Familienlebens garantiert (vgl. dazu ausführlich BGE 127 II 60 E. 1d/aa S. 64 f., mit Hinweisen), wird zu Recht nicht als verletzt gerügt. Für seinen Sohn, der inzwischen volljährig geworden ist, kann sich der Beschwerdeführer nicht mehr auf die erwähnte Konventionsnorm berufen, da hiefür auf den heutigen Zeitpunkt abzustellen ist ( BGE 129 II 11 E. 2 S. 13; 120 Ib 257 E. 1f S. 262). Dass ein besonderes Abhängigkeitsverhältnis vorliege, welches dem Sohn nach Erreichen der Volljährigkeit allenfalls einen Anspruch auf die Erteilung einer Aufenthaltsbewilligung gestützt auf Art. 8 EMRK verschaffen könnte, wird nicht behauptet. Was schliesslich die noch minderjährige Tochter D.________ betrifft, ist nicht dargetan, dass sie zum Vater die vorrangige familiäre Beziehung unterhält und sich der Nachzug zu deren Pflege als notwendig erweist (was das Nachzugsrecht nach Art. 8 EMRK ebenfalls voraussetzt [vgl. BGE 125 II 629 E. 3a S. 640]).</w:t>
      </w:r>
    </w:p>
    <w:p>
      <w:r>
        <w:rPr>
          <w:b/>
        </w:rPr>
        <w:t>E. 5</w:t>
      </w:r>
    </w:p>
    <w:p>
      <w:r>
        <w:t>Die Verwaltungsgerichtsbeschwerde erweist sich als unbegründet und ist abzuweisen. Entsprechend dem Ausgang des Verfahrens sind dessen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