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2A.179/2000 vom 4. Dezember 2000</w:t>
      </w:r>
    </w:p>
    <w:p>
      <w:r>
        <w:t>Bundesgericht, 2000-12-04, DE</w:t>
      </w:r>
    </w:p>
    <w:p>
      <w:r>
        <w:rPr>
          <w:b/>
        </w:rPr>
        <w:t xml:space="preserve">Quelle: </w:t>
      </w:r>
      <w:r>
        <w:t>https://mcp.opencaselaw.ch/entscheid/bger_2A.179_2000</w:t>
      </w:r>
    </w:p>
    <w:p>
      <w:r>
        <w:t>FR: TF 2A.179/2000 du 4 décembre 2000</w:t>
      </w:r>
    </w:p>
    <w:p>
      <w:r>
        <w:t>IT: TF 2A.179/2000 del 4 dicembre 2000</w:t>
      </w:r>
    </w:p>
    <w:p>
      <w:pPr>
        <w:pStyle w:val="Heading2"/>
      </w:pPr>
      <w:r>
        <w:t>Regeste</w:t>
      </w:r>
    </w:p>
    <w:p>
      <w:r>
        <w:t>Energie</w:t>
      </w:r>
    </w:p>
    <w:p>
      <w:pPr>
        <w:pStyle w:val="Heading2"/>
      </w:pPr>
      <w:r>
        <w:t>Erwägungen</w:t>
      </w:r>
    </w:p>
    <w:p>
      <w:r>
        <w:rPr>
          <w:b/>
        </w:rPr>
        <w:t>E. 1</w:t>
      </w:r>
    </w:p>
    <w:p>
      <w:r>
        <w:t>a) 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 BGE 123 II 359 E. 1a/aa). Der angefochtene Entscheid stützt sich auf das Bundesgesetz über die Nutzbarmachung der Wasserkräfte; ein Ausschlussgrund liegt nicht vor. Aus Art. 71 WRG ergibt sich zudem, dass bei Streitigkeiten zwischen dem Konzessionär und der Verleihungsbehörde als letzte Instanz immer das Bundesgericht zuständig ist; Vorinstanz ist entweder die zuständige kantonale Gerichtsbehörde (Abs. 1) oder die Rekurskommission UVEK (Abs. 2). Die Verwaltungsgerichtsbeschwerde ist damit zulässig. b) Die Legitimation des Departements für Umwelt, Verkehr, Energie und Kommunikation ergibt sich aus Art. 103 lit. b OG . Der Kanton Zürich ist durch den angefochtenen Entscheid berührt; da es um seine fiskalischen Interessen als Bezüger des Wasserzinses geht, hat er ein schutzwürdiges Interesse an der Aufhebung der angefochtenen Verfügung (vgl. Art. 103 lit. a OG ). c) Da mit beiden Beschwerden derselbe Entscheid angefochten wird und sich zudem dieselben Rechtsfragen stellen, rechtfertigt es sich, die beiden Beschwerdeverfahren zu vereinigen ( Art. 24 BZP in Verbindung mit Art. 40 OG ).</w:t>
      </w:r>
    </w:p>
    <w:p>
      <w:r>
        <w:rPr>
          <w:b/>
        </w:rPr>
        <w:t>E. 2</w:t>
      </w:r>
    </w:p>
    <w:p>
      <w:r>
        <w:t>Das Verwaltungsgericht hat den Beschluss des Regierungsrates vom 1. Dezember 1999 aufgehoben, weil es zum Schluss gekommen ist, dass im vorliegenden Fall nicht der Kanton Zürich, sondern einzig der Bund zur Festsetzung der Höhe des vom Kraftwerk geschuldeten Wasserzinses berechtigt sei. a) Betrifft die Erteilung oder Ausübung von Rechten an Wasservorkommen das internationale Verhältnis, so entscheidet darüber unter Beizug der beteiligten Kantone der Bund ( Art. 24bis Abs. 4 Satz 1 aBV ; vgl. die fast gleich lautende Fassung von Art. 76 Abs. 5 BV ). Die Bestimmung ermächtigt die Bundesbehörden, über die Rechte an internationalen Gewässern Verfügungen zu treffen, die an sich gemäss Art. 24bis Abs. 3 aBV (bzw. Art. 76 Abs. 4 BV ) in den Kompetenzbereich der Kantone fallen würden. Durch diese Kompetenzverschiebung wird dem Bund allerdings nicht die Gewässerhoheit übertragen. Vielmehr bleiben auch die Gewässer, welche das internationale Verhältnis berühren, kantonal, sodass der Wasserzins weiterhin dem betreffenden Kanton zukommt. Indessen ist die Festsetzung des Wasserzinses bzw. allfälliger anderer Entschädigungen für die Nutzung der Wasserkraft bei diesen Gewässern Sache des Bundes ( Art. 24bis Abs. 4 Satz 3 aBV , Art. 52 WRG ; vgl. Art. 76 Abs. 5 BV ). Der Bund handelt, nachdem er den betroffenen Kanton angehört hat, in dessen Interesse und für dessen Rechnung (vgl. unveröffentlichtes Urteil des Bundesgerichts vom 23. August 1999 i.S. Kraftwerke Hinterrhein AG, E. 2a). Die Regelung von Art. 24bis Abs. 4 aBV bzw. Art. 76 Abs. 5 BV und Art. 52 WRG entzieht den Kantonen nicht das Recht, zu ihren Gunsten ausbedungene Leistungen selbständig gegenüber dem Konzessionär geltend zu machen (vgl. unveröffentlichtes Urteil vom 23. August 1999, a.a.O., E. 2c). An dieser Kompetenzverteilung zwischen Bund und Kantonen hat das Inkrafttreten der neuen Bundesverfassung nichts geändert. b) Im vorliegenden Fall hat der Bundesrat in der Konzession vom 16. März 1926 in Bezug auf den Wasserzins in Art. 19 Folgendes festgelegt: "Für die Überlassung der Wassernutzungsrechte hat der Unternehmer den Kantonen Zürich und Aargau eine einmalige Gebühr und einen jährlichen Wasserzins nach der jeweiligen schweizerischen Gesetzgebung zu leisten. Die Höhe des Wasserzinses vermindert sich um den Betrag einer Sondersteuer auf Wasserkräfte oder daraus erzeugter Energie. " Dieser Verweis auf die "jeweilige schweizerische Gesetzgebung" ist so auszulegen, dass der betroffene Kanton einen Wasserzins in der Höhe des vom Gesetzgeber in Art. 49 des Wasserrechtsgesetzes festgesetzten Maximums beziehen darf. Damit aber ist der konkrete, von der Konzessionärin jährlich geschuldete Wasserzins genügend bestimmt; der Kanton setzt damit, dass er den so berechenbaren Betrag vom Kraftwerk einfordert, nicht den Wasserzins fest, sondern er bezieht lediglich die vom Bund festgesetzten, zu seinen Gunsten ausbedungenen Leistungen. Soweit in der Zusatzverleihung vom 9. Oktober 1956 auf das kantonale Recht verwiesen wird, ist der Wasserzins zumindest bestimmbar, ist er doch gemäss § 66 des zürcherischen Wasserwirtschaftsgesetzes in der Höhe des bundesrechtlichen Höchstansatzes zu erheben; es gilt daher dasselbe. Mit der Verfügung der Baudirektion vom 24. Februar 1998 bzw. dem Rekursentscheid des Regierungsrates vom 1. Dezember 1999 hat der Kanton Zürich entgegen der Auffassung der Vorinstanz nicht gemäss Art. 52 WRG den Wasserzins festgesetzt, sondern lediglich den in der Konzession festgesetzten bzw. bestimmbaren Zins bezogen. Dazu ist er aber nach dem Gesagten berechtigt. Das Verwaltungsgericht hat demnach den Rekursentscheid des Regierungsrats vom 1. Dezember 1999 und die Verfügung der Baudirektion vom 24. Februar 1998 zu Unrecht aufgehoben. Anzumerken bleibt, dass die Baudirektion in ihrer Verfügung eine Anpassung des Wasserzinses "aufgrund neuer staatlicher Vereinbarungen zwischen der Schweiz und Deutschland" ausdrücklich vorbehalten hat; darauf Bezug nehmend hat der Regierungsrat in seinem Rekursentscheid ausgeführt, auf Grund einer definitiven Abstimmung im Sinne von Art. 49 Abs. 1 WRG sei damit weder eine künftige Senkung noch eine Rückerstattung ausgeschlossen. Es war demnach den kantonalen Behörden bewusst, dass sie insoweit den Wasserzins nicht anstelle des Bundes festsetzen, sondern ihn nur beziehen dürfen. c) Zu prüfen bleibt die - vom Verwaltungsgericht nicht entschiedene - Frage, welche Tragweite im Zusammen-hang mit der durch den Gesetzgeber vorgenommenen Erhöhung des Wasserzinsmaximums auf jährlich 80 Franken pro Kilowatt Bruttoleistung das in Art. 49 Abs. 1 WRG erwähnte Erfordernis der "notwendigen Abstimmung" hat. Bei dieser Frage handelt es sich aber um einen Streit zwischen dem Konzessionär und der Verleihungsbehörde, da es der Bundesrat war, der in der Konzession durch den Verweis auf die schweizerische Gesetzgebung die Höhe des Wasserzinses festgesetzt hat. Gemäss Art. 71 Abs. 2 in Verbindung mit Abs. 1 WRG entscheidet über einen solchen Streit die Rekurskommission UVEK als Schiedskommission. d) Der Entscheid des Verwaltungsgerichts ist daher aufzuheben und die Sache an die Rekurskommission UVEK weiterzuleiten. Diese wird zu prüfen haben, ob die bisher mit dem Land Baden-Württemberg erfolgten Besprechungen als internationale Abstimmung im Sinne von Art. 49 Abs. 1 WRG gelten können.</w:t>
      </w:r>
    </w:p>
    <w:p>
      <w:r>
        <w:rPr>
          <w:b/>
        </w:rPr>
        <w:t>E. 3</w:t>
      </w:r>
    </w:p>
    <w:p>
      <w:r>
        <w:t>Die Kraftwerk Reckingen AG ist zwar formell unterlegen, da die Beschwerden entgegen ihrem Antrag gutgeheissen werden; es rechtfertigt sich indessen angesichts der besonderen Fallkonstellation, von der Erhebung von Gerichtskosten abzusehen.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