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2A.174/2006 vom 23. Juni 2006</w:t>
      </w:r>
    </w:p>
    <w:p>
      <w:r>
        <w:t>Bundesgericht, 2006-06-23, FR</w:t>
      </w:r>
    </w:p>
    <w:p>
      <w:r>
        <w:rPr>
          <w:b/>
        </w:rPr>
        <w:t xml:space="preserve">Quelle: </w:t>
      </w:r>
      <w:r>
        <w:t>https://mcp.opencaselaw.ch/entscheid/bger_2A.174_2006</w:t>
      </w:r>
    </w:p>
    <w:p>
      <w:r>
        <w:t>FR: TF 2A.174/2006 du 23 juin 2006</w:t>
      </w:r>
    </w:p>
    <w:p>
      <w:r>
        <w:t>IT: TF 2A.174/2006 del 23 giugno 2006</w:t>
      </w:r>
    </w:p>
    <w:p>
      <w:pPr>
        <w:pStyle w:val="Heading2"/>
      </w:pPr>
      <w:r>
        <w:t>Erwägungen</w:t>
      </w:r>
    </w:p>
    <w:p>
      <w:r>
        <w:rPr>
          <w:b/>
        </w:rPr>
        <w:t>E. 1.1</w:t>
      </w:r>
    </w:p>
    <w:p>
      <w:r>
        <w:t>La décision attaquée ayant été rédigée en français, le présent arrêt sera également rendu dans cette langue ( art. 37 al. 3 OJ ; ATF 131 I 145 consid. 1 p. 147).</w:t>
      </w:r>
    </w:p>
    <w:p>
      <w:r>
        <w:rPr>
          <w:b/>
        </w:rPr>
        <w:t>E. 1.2</w:t>
      </w:r>
    </w:p>
    <w:p>
      <w:r>
        <w:t>Le présent recours est recevable comme recours de droit admi- nistratif contre la décision du Département refusant d'exempter le recourant des mesures de limitation ( art. 98 lettre b OJ ; ATF 122 II 186 consid. 1 p. 189). Il est en revanche irrecevable en tant qu'il critique la décision de l'autorité de première instance et, d'une manière générale, la pratique de l'ODM lorsqu'il examine si les étrangers sans-papiers peuvent être ou non exemptés des mesures de limitation.</w:t>
      </w:r>
    </w:p>
    <w:p>
      <w:r>
        <w:rPr>
          <w:b/>
        </w:rPr>
        <w:t>E. 1.3</w:t>
      </w:r>
    </w:p>
    <w:p>
      <w:r>
        <w:t>Les conditions pour ordonner exceptionnellement un deuxième échange d'écritures n'étant pas remplies ( art. 110 al. 4 OJ ), le mémoire complémentaire que le recourant a déposé le 7 juin 2006, sans y avoir été invité, est irrecevable.</w:t>
      </w:r>
    </w:p>
    <w:p>
      <w:r>
        <w:rPr>
          <w:b/>
        </w:rPr>
        <w:t>E. 2</w:t>
      </w:r>
    </w:p>
    <w:p>
      <w:r>
        <w:t>Le recourant reproche tout d'abord à l'autorité intimée d'avoir violé son droit d'être entendu en refusant d'entrer en matière sur son offre de preuve visant à ce que l'ODM procède à une enquête systématique portant sur l'octroi d'autorisations de séjour en application de l'art. 13 lettre f OLE et de la circulaire du 21 décembre 2001. Selon lui, ce moyen de preuve était indispensable, car il devait permettre de constater qu'il était victime d'une inégalité de traitement par rapport à d'autres étrangers qui, comme lui, avaient séjourné illégalement en Suisse.</w:t>
      </w:r>
    </w:p>
    <w:p>
      <w:r>
        <w:rPr>
          <w:b/>
        </w:rPr>
        <w:t>E. 2.1</w:t>
      </w:r>
    </w:p>
    <w:p>
      <w:r>
        <w:t>Le droit d'être entendu découlant de l' art. 29 al. 2 Cst. comprend notamment le droit de faire administrer des preuves; il suppose toutefois que le fait à prouver soit pertinent et que le moyen de preuve proposé soit apte et nécessaire à prouver ce fait ( ATF 130 II 425 consid. 2.1 p. 429 et les arrêts cités; 122 V 157 consid 1d p. 162: 119 Ib 492 consid. 5b/bb p. 505). Par ailleurs,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131 V 107 consid. 3.4.2 p. 114; 129 I 113 consid. 5.1 p. 125; 127 V 448 consid. 3b p. 454; 125 I 1 consid. 2b/aa p. 4 et la jurisprudence citée).</w:t>
      </w:r>
    </w:p>
    <w:p>
      <w:r>
        <w:rPr>
          <w:b/>
        </w:rPr>
        <w:t>E. 2.2</w:t>
      </w:r>
    </w:p>
    <w:p>
      <w:r>
        <w:t>Les statiques requises par le recourant devaient démontrer que plusieurs étrangers se trouvant dans la même situation que la sienne avaient obtenu des autorisations de séjour. Or, comme l'a relevé à juste titre le Département, il s'agissait seulement en l'espèce d'exa- miner si les conditions pour accorder une autorisation de séjour en vertu de l'art. 13 lettre f OLE étaient ou non remplies, ce qui dépend des circonstances de chaque cas particulier. La requête du recourant n'était donc pas pertinente pour établir les faits sur lesquels devait se fonder la décision attaquée. Quant à la soi-disant inégalité de traitement qui aurait ainsi pu être constatée, il faut rappeler que le recourant n'aurait de toute façon pas pu se prévaloir d'une faveur accordée illégalement à un tiers (arrêt 2A.531/2005 du 7 décembre 2005, consid. 5, non publié). Par ailleurs, la question de savoir si des autorisations de séjour ont été accordées à certaines personnes avant que la jurisprudence du Tribunal fédéral relative aux sans-papiers ( ATF 130 II 39 ss) ne soit connue de l'Office fédéral ou simplement pour des raisons politiques, relèvent de questions d'opportunité, qui n'ont donc pas à être examinées par le Tribunal fédéral (art. 104 lettre c OJ). Au demeurant, le recourant ne remet pas en cause les deux cas qui ont été jugés différents du sien par le Département, mais il formule des critiques générales à l'encontre des autorités fédérale et cantonale au sujet de leur politique en matière de police des étrangers qui ne sont pas recevables dans le cadre du présent recours.</w:t>
      </w:r>
    </w:p>
    <w:p>
      <w:r>
        <w:rPr>
          <w:b/>
        </w:rPr>
        <w:t>E. 3.1</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Ainsi, la longue durée d'un séjour en Suisse ne suffit pas pour obtenir une autorisation de séjour fondée sur l'art. 13 lettre f OLE, cette disposition n'étant pas destinée au premier chef à régulariser la situation d'étrangers vivant clandestinement en Suisse ( ATF 130 II 39 consid. 5.2 p. 45). Le fait que certains étrangers aient opté pour l'illégalité peut donc les desservir au regard des conditions d'une exemption des mesures de limitation, du moment qu'il n'y a pas lieu de définir à leur intention un critère particulier d'intégration sociale pour tenir compte de leur clandestinité; cela reviendrait en effet à leur accorder un traitement de faveur dans l'application de l'art. 13 lettre f OLE, par rapport aux étrangers ayant toujours séjourné légalement en Suisse ( ATF 130 II 39 consid. 5.4 p. 46).</w:t>
      </w:r>
    </w:p>
    <w:p>
      <w:r>
        <w:rPr>
          <w:b/>
        </w:rPr>
        <w:t>E. 3.2</w:t>
      </w:r>
    </w:p>
    <w:p>
      <w:r>
        <w:t>Se référant à cette jurisprudence, le Département a estimé à juste titre que le recourant ne remplissait pas les conditions requises pour être exempté des mesures de limitation. Il est en effet constant que le recourant a conservé ses attaches familiales dans son pays d'origine, où vivent sa femme et ses quatre enfants. A cet égard, le fait que son travail en Suisse lui permet de faire vivre sa famille au Kosovo n'a pas à être pris en considération. Il n'est pas non plus établi que l'intéressé jouisse en Suisse d'une intégration exceptionnelle, même s'il parle l'allemand et le français, ce qui lui a facilité certainement ses séjours dans le canton de Fribourg, où vivent également ses deux frères, titulaires d'un permis d'établissement. Ces circonstances ne sont en effet pas suffisantes pour admettre que le cas du recourant constituerait un cas de rigueur au sens de l'art. 13 lettre f OLE. Quant à la durée de son séjour en Suisse, le recourant voudrait que l'on fasse abstraction des infractions à la loi sur le séjour et l'établissement qu'il a commises et que l'on tienne compte du fait qu'il a manqué de peu la transformation de son autorisation de séjour saisonnière en autorisation annuelle en 1995. Ce point de vue n'est à l'évidence pas soutenable, dans la mesure où les autorisations de séjour fondées sur l'art. 13 lettre f OLE n'ont pas pour but de remédier aux circonstances qui n'ont pas permis d'accorder une autorisation de séjour à un autre titre. Le Département pouvait ainsi retenir qu'après être entré plusieurs fois illégalement en Suisse, le recourant ne s'était pas conformé à la décision de renvoi du 13 octobre 2000, ni à celle d'interdiction d'entrée en Suisse prononcée le 10 novembre 2000. Contrairement à ce que soutient l'intéressé, l'autorité intimée n'est, dans ce contexte, pas tombée dans l'arbitraire en relativisant la portée des séjours clandestins du recourant en Suisse. Ce faisant, elle s'est en effet conformée à la jurisprudence du Tribunal fédéral sur ce point ( ATF 130 II 39 consid. 5 p. 44 ss). Pour le reste, les arguments du recourant visant à remettre en cause cette jurisprudence doivent être rejetés, sinon cela constituerait une inégalité de traitement par rapport aux étrangers qui ont toujours respecté les dispositions légales en matière de séjour et d'établissement.</w:t>
      </w:r>
    </w:p>
    <w:p>
      <w:r>
        <w:rPr>
          <w:b/>
        </w:rPr>
        <w:t>E. 4</w:t>
      </w:r>
    </w:p>
    <w:p>
      <w:r>
        <w:t>Au vu de ce qui précède, le recours doit être rejeté dans la mesure où il est recevable, selon la procédure simplifiée de l' art. 36a OJ . Les frais judiciaires doivent ainsi être mis à la charge du recourant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