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2A.169/2004 vom 31. August 2004</w:t>
      </w:r>
    </w:p>
    <w:p>
      <w:r>
        <w:t>Bundesgericht, 2004-08-31, FR</w:t>
      </w:r>
    </w:p>
    <w:p>
      <w:r>
        <w:rPr>
          <w:b/>
        </w:rPr>
        <w:t xml:space="preserve">Quelle: </w:t>
      </w:r>
      <w:r>
        <w:t>https://mcp.opencaselaw.ch/entscheid/bger_2A.169_2004</w:t>
      </w:r>
    </w:p>
    <w:p>
      <w:r>
        <w:t>FR: TF 2A.169/2004 du 31 août 2004</w:t>
      </w:r>
    </w:p>
    <w:p>
      <w:r>
        <w:t>IT: TF 2A.169/2004 del 31 agosto 2004</w:t>
      </w:r>
    </w:p>
    <w:p>
      <w:pPr>
        <w:pStyle w:val="Heading2"/>
      </w:pPr>
      <w:r>
        <w:t>Erwägungen</w:t>
      </w:r>
    </w:p>
    <w:p>
      <w:r>
        <w:rPr>
          <w:b/>
        </w:rPr>
        <w:t>E. 1</w:t>
      </w:r>
    </w:p>
    <w:p>
      <w:r>
        <w:t>Le Tribunal fédéral examine d'office et librement la recevabilité des recours qui lui sont soumis.</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1.2</w:t>
      </w:r>
    </w:p>
    <w:p>
      <w:r>
        <w:t>Depuis l'entrée en vigueur, le 1er juin 2002, de l'Accord du 21 juin 1999 entre la Confédération suisse, d'une part, et la Communauté européenne et ses Etats membres, d'autre part, sur la libre circulation des personnes (ci-après cité: Accord ou ALCP; RS 0.142.112.681), le recourant peut, en principe, du seul fait de sa nationalité espagnole, obtenir une autorisation de séjour, notamment aux fins d'exercer une «activité économique» (cf. art. 2 par. 1 annexe I ALCP ). Dans cette mesure, le motif d'irrecevabilité prévu à l'art. 100 al. 1 lettre b ch. 3 OJ ne lui est pas opposable, sans toutefois que cela ne préjuge de l'issue du litige. C'est, en effet, un problème de fond que la question de savoir si, dans un cas particulier, l'Accord confère effectivement le droit à une autorisation de séjour ou si, au contraire, une telle autorisation doit être refusée, par exemple à cause de l'inobservation d'une modalité ou d'une condition requise pour exercer le droit en cause ou pour une autre raison, telle la constatation d'un abus de droit ou l'existence d'un motif d'ordre public (cf. arrêt destiné à la publication du 7 juin 2004, 2A.565/2003, consid. 1.2).</w:t>
      </w:r>
    </w:p>
    <w:p>
      <w:r>
        <w:rPr>
          <w:b/>
        </w:rPr>
        <w:t>E. 1.3</w:t>
      </w:r>
    </w:p>
    <w:p>
      <w:r>
        <w:t>La voie du recours de droit administratif étant ouverte, le recours de droit public formé en parallèle par le recourant est irrecevable, vu le caractère subsidiaire de ce moyen de droit ( art. 84 al. 2 OJ ). Les griefs soulevés à ce titre seront néanmoins examinés, car le Tribunal fédéral revoit d'office, lorsqu'il est saisi d'un recours de droit administratif, l'application du droit fédéral ( art. 104 lettre a OJ ) qui englobe notamment - ce que semble ignorer le recourant - les droits constitutionnels des citoyens (cf. ATF 129 II 183 consid. 3.4 p. 188; 128 II 56 consid. 2b p. 60 et les arrêts cités) ainsi que les traités internationaux (126 II 506 consid. 1b p. 508).</w:t>
      </w:r>
    </w:p>
    <w:p>
      <w:r>
        <w:rPr>
          <w:b/>
        </w:rPr>
        <w:t>E. 1.4</w:t>
      </w:r>
    </w:p>
    <w:p>
      <w:r>
        <w:t>Pour le surplus, déposé en temps utile et dans les formes prescrites par la loi, le recours est recevable.</w:t>
      </w:r>
    </w:p>
    <w:p>
      <w:r>
        <w:rPr>
          <w:b/>
        </w:rPr>
        <w:t>E. 2</w:t>
      </w:r>
    </w:p>
    <w:p>
      <w:r>
        <w:t>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128 II 145 consid. 1.2.1 p. 150; 126 II 196 consid. 1 p. 198). En outre, le Tribunal fédéral ne peut pas revoir l'opportunité de la décision entreprise, le droit fédéral ne prévoyant pas un tel examen en la matière (art. 104 lettre c ch. 3 OJ); en revanche, il n'est pas lié par les motifs que les parties invoquent et peut admettre le recours pour d'autres raisons que celles avancées par le recourant ou, au contraire, confirmer la décision attaquée pour d'autres motifs que ceux retenus par l'autorité intimée (art. 114 al. 1 in fine OJ; ATF 127 II 264 consid. 1b p. 268; 125 II 497 consid. 1b/aa p. 500).</w:t>
      </w:r>
    </w:p>
    <w:p>
      <w:r>
        <w:rPr>
          <w:b/>
        </w:rPr>
        <w:t>E. 3</w:t>
      </w:r>
    </w:p>
    <w:p>
      <w:r>
        <w:t>Le 4 juin 2004, le Service de la population a spontanément produit deux pièces nouvelles. Déposées après le délai de réponse sans qu'un nouvel échange d'écritures n'ait été ordonné, ces pièces ne sont pas recevables (cf. ATF 109 Ib 249 consid. 3c).</w:t>
      </w:r>
    </w:p>
    <w:p>
      <w:r>
        <w:t>Au demeurant, lorsque le recours est dirigé, comme en l'espèce, contre la décision d'une autorité judiciaire, les modifications ultérieures de l'état de fait ne peuvent normalement pas être prises en considération, car on ne saurait reprocher à une autorité d'avoir mal constaté les faits, au sens de l' art. 105 al. 2 OJ , si ceux-ci ont changé après sa décision (cf. ATF 128 II 145 consid. 1.2.1 p. 150; 125 II 217 consid. 3a p. 221 et les arrêts cités).</w:t>
      </w:r>
    </w:p>
    <w:p>
      <w:r>
        <w:rPr>
          <w:b/>
        </w:rPr>
        <w:t>E. 4</w:t>
      </w:r>
    </w:p>
    <w:p>
      <w:r>
        <w:t>Le recourant élève plusieurs griefs d'ordre formel qu'il convient de traiter en premier lieu, car leur admission pourrait entraîner l'annulation de l'arrêt attaqué sans examen du litige au fond (cf. ATF 124 V 90 consid. 2 p. 92).</w:t>
      </w:r>
    </w:p>
    <w:p>
      <w:r>
        <w:t>Tout d'abord, il reproche aux premiers juges d'avoir insuffisamment motivé leur arrêt. La jurisprudence déduite du droit d'être entendu garanti à l' art. 29 al. 2 Cst. n'impose cependant pas au juge de discuter de manière détaillée tous les arguments soulevés par les parties ou de statuer séparément sur chacune de leurs conclusions. Il peut au contraire se limiter à l'examen des questions décisives, selon lui, pour l'issue du litige, en mentionnant, même brièvement, les motifs qui ont fondé son appréciation. Il suffit, en réalité, que le justiciable puisse apprécier correctement la portée de la décision litigieuse et, comme en l'espèce, l'attaquer en connaissance de cause ( ATF 129 I 232 consid. 3.2 p. 236 et les références citées). Le grief est mal fondé.</w:t>
      </w:r>
    </w:p>
    <w:p>
      <w:r>
        <w:t>Le recourant voit également une violation de son droit d'être entendu dans le fait qu'il n'a pu consulter le dossier ni auprès du Tribunal administratif, ni auprès du Service de la population pour former son recours au Tribunal fédéral. Ces autorités lui ont semble-t-il indiqué que son dossier se trouvait entre les mains de l'Office fédéral, qui est intéressé à la présente procédure au sens de l' art. 110 al. 1 OJ . Il ne prétend toutefois pas qu'il aurait demandé à cette autorité fédérale de pouvoir consulter le dossier, encore moins que cette dernière s'y serait opposée. Au surplus, son recours ne contient nulle requête tendant à l'édition ou à la consultation du dossier litigieux. Le moyen se révèle donc également infondé.</w:t>
      </w:r>
    </w:p>
    <w:p>
      <w:r>
        <w:t>Enfin, le recourant, qui a un avocat pour mandataire, se plaint de l'absence d'indication des voies de droit dans l'arrêt attaqué. Lorsque, comme en l'espèce, le justiciable ne subit aucun préjudice d'une telle informalité, la décision qui en est affectée n'a pas à être annulée (cf. ATF 123 II 231 consid. 8b p. 238 et les références citées). Là encore, le grief est mal fondé.</w:t>
      </w:r>
    </w:p>
    <w:p>
      <w:r>
        <w:rPr>
          <w:b/>
        </w:rPr>
        <w:t>E. 5.1</w:t>
      </w:r>
    </w:p>
    <w:p>
      <w:r>
        <w:t>Aux termes de son art. 1er lettre a, la loi fédérale du 26 mars 1931 sur le séjour et l'établissement des étrangers (LSEE; RS 142.20) n'est applicable aux ressortissants des Etats membres de la Communauté européenne et aux membres de leur famille que si l'Accord sur la libre circulation des personnes n'en dispose pas autrement ou si ladite loi prévoit des dispositions plus favorables.</w:t>
      </w:r>
    </w:p>
    <w:p>
      <w:r>
        <w:rPr>
          <w:b/>
        </w:rPr>
        <w:t>E. 5.2</w:t>
      </w:r>
    </w:p>
    <w:p>
      <w:r>
        <w:t>En l'espèce, lorsqu'il a quitté la Suisse le 1er octobre 1997, le recourant a perdu son autorisation d'établissement (permis C) qui est devenue caduque en même temps qu'il annonçait aux autorités son départ définitif, indépendamment de la durée effective de son séjour à l'étranger (art. 9 al. 3 lettre c LSEE, première hypothèse). Au demeurant, l'intéressé n'établit aucunement que, contrairement à ce qu'ont retenu les premiers juges, son absence à l'étranger aurait duré moins de six mois. En particulier, les deux jugements pénaux auxquels il se réfère ne contiennent pas de constatations claires à ce sujet; de plus, dans le formulaire qu'il a rempli en janvier 2001 à l'appui de sa requête, il faisait lui-même remonter son retour en Suisse au mois d'octobre 2000 voire de janvier 2001. A supposer même qu'il n'aurait pas annoncé son départ lorsqu'il a quitté la Suisse, son autorisation d'établissement aurait donc également pris fin en raison, comme l'ont constaté les premiers juges d'une manière à lier la Cour de céans (cf. supra consid. 2), d'un séjour à l'étranger d'une durée supérieure à six mois ( art. 9 al. 3 lettre b LSEE , seconde hypothèse).</w:t>
      </w:r>
    </w:p>
    <w:p>
      <w:r>
        <w:rPr>
          <w:b/>
        </w:rPr>
        <w:t>E. 5.3</w:t>
      </w:r>
    </w:p>
    <w:p>
      <w:r>
        <w:t>Le recourant invoque également l'Echange de lettres des 9 août / 31 octobre 1989 entre la Suisse et l'Espagne concernant le traitement administratif des ressortissants d'un pays dans l'autre après une résidence régulière et ininterrompue de cinq ans (RS 0.142.113.328.1). Selon le ch. 2 de ce document, les ressortissants espagnols justifiant d'une résidence régulière et ininterrompue en Suisse de cinq ans reçoivent une autorisation d'établissement au sens de l' art. 6 LSEE . Toutefois, seuls les séjours effectués au bénéfice d'une autorisation de séjour délivrée par les autorités compétentes fondent une résidence régulière au sens de cette disposition, à l'exception, par conséquent, des séjours non déclarés ou qui sont simplement tolérés dans l'attente d'une décision ou grâce à l'effet suspensif d'une procédure de recours (cf. arrêts du 26 avril 1999, 2A.73/1999, consid. 1a, et du 22 juin 1998, 2A.79/1998, consid. 1).</w:t>
      </w:r>
    </w:p>
    <w:p>
      <w:r>
        <w:t>En l'espèce, le Service de la population a opposé un refus à la demande d'autorisation de séjour déposée par le recourant en janvier 2001. Depuis lors, ce dernier ne doit donc sa présence en Suisse qu'à la faveur du temps nécessaire pour traiter sa demande ainsi qu'à l'effet suspensif accordé aux recours qu'il a formés au plan cantonal et fédéral pour échapper à son renvoi. Il ne peut ainsi pas se prévaloir d'une résidence régulière et ininterrompue en Suisse de cinq ans au sens de l'Echange de lettres des 9 août / 31 octobre 1989 entre la Suisse et l'Espagne.</w:t>
      </w:r>
    </w:p>
    <w:p>
      <w:r>
        <w:rPr>
          <w:b/>
        </w:rPr>
        <w:t>E. 5.4</w:t>
      </w:r>
    </w:p>
    <w:p>
      <w:r>
        <w:t>Par conséquent, le recourant ne peut tirer un droit de séjour ni de la loi sur le séjour et l'établissement des étrangers (cf. supra consid. 1), ni de l'Echange de lettres précité.</w:t>
      </w:r>
    </w:p>
    <w:p>
      <w:r>
        <w:rPr>
          <w:b/>
        </w:rPr>
        <w:t>E. 6.1</w:t>
      </w:r>
    </w:p>
    <w:p>
      <w:r>
        <w:t>A l'instar du Service de la population, le Tribunal administratif s'est fondé sur l' art. 5 annexe I ALCP pour refuser l'autorisation de séjour demandée. Ce faisant, ces autorités ont donc - implicitement - considéré que l'Accord sur la libre circulation des personnes conférait au recourant le droit de séjourner en Suisse; elles n'ont toutefois pas précisé d'autre critère de rattachement à cet accord que la nationalité espagnole de l'intéressé. Or, si un tel critère est, en principe, suffisant pour présumer l'existence d'un droit à une autorisation de séjour et fonder la qualité pour recourir contre un refus d'autorisation, il ne dit encore rien, comme on l'a vu (supra consid. 1.2),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rentier, étudiant,...).</w:t>
      </w:r>
    </w:p>
    <w:p>
      <w:r>
        <w:t>En l'espèce, le recourant a motivé sa demande d'autorisation de séjour, datée du 31 janvier 2001, par le fait qu'il entendait poursuivre la profession de «courtier indépendant» qu'il exerçait avant son incarcération. Il convient par conséquent d'examiner si ce motif est de nature à constituer un cas de libre circulation au sens de l'Accord.</w:t>
      </w:r>
    </w:p>
    <w:p>
      <w:r>
        <w:rPr>
          <w:b/>
        </w:rPr>
        <w:t>E. 6.2</w:t>
      </w:r>
    </w:p>
    <w:p>
      <w:r>
        <w:t>Au titre de ses objectifs, l'Accord vise notamment à accorder aux ressortissants des Etats membres un droit de séjour et d'établissement en tant qu'indépendant ( art. 1er lettre a ALCP ). Sous réserve des dispositions transitoires de l' art. 10 ALCP - applicables au recourant puisqu'il n'était pas autorisé à exercer une activité en Suisse lors de l'entrée en vigueur de l'Accord (cf. art. 10 par. 5 ALCP a contrario) -, ce droit est garanti conformément aux dispositions de l'annexe I ALCP ( art. 4 ALCP ). Ses modalités sont définies au chap. III de l'annexe I (art. 12 ss), sans préjudice des dispositions transitoires précitées et de celles arrêtées au chap. VII de l'annexe I (art. 2 par. 1 annexe I), dont, en particulier, l'art. 31 qui a la teneur suivante («réglementation du séjour des indépendants»):</w:t>
      </w:r>
    </w:p>
    <w:p>
      <w:r>
        <w:t>«Le ressortissant d'une partie contractante désirant s'établir sur le territoire d'une autre partie contractante en vue d'exercer une activité indépendante (ci-après nommé indépendant) reçoit un titre de séjour d'une durée de six mois. Il reçoit un titre de séjour d'une durée de cinq ans au moins pour autant qu'il produise, aux autorités nationales compétentes avant la fin de la période de six mois, la preuve qu'il exerce une activité indépendante. Cette période de six mois peut au besoin être prolongée de deux mois au maximum si celui-ci a de réelles chances de présenter cette preuve».</w:t>
      </w:r>
    </w:p>
    <w:p>
      <w:r>
        <w:rPr>
          <w:b/>
        </w:rPr>
        <w:t>E. 6.3</w:t>
      </w:r>
    </w:p>
    <w:p>
      <w:r>
        <w:t>Après que le recourant a présenté sa demande d'autorisation de séjour le 31 janvier 2001 en vue de s'établir comme «courtier indépendant», le Service de la population l'a relancé à plusieurs reprises, sans succès, afin d'obtenir des renseignements complémentaires sur sa situation personnelle ainsi que sur ses intentions et ses projets en Suisse. En particulier, il était invité à donner un «descriptif détaillé» de l'activité indépendante projetée ainsi qu'à préciser - avec pièces justificatives à l'appui - où il comptait l'exercer et quelles démarches il avait concrètement entreprises ou planifiées auprès des différentes autorités administratives compétentes en vue de la démarrer (registre du commerce, caisse de compensation,...). Il était rendu attentif au fait que si les renseignements ou documents exigés n'étaient pas transmis dans les délais indiqués, il serait statué en l'état de son dossier.</w:t>
      </w:r>
    </w:p>
    <w:p>
      <w:r>
        <w:t>A aucun moment le recourant ne s'est donné la peine d'établir l'exercice effectif d'une activité indépendante en Suisse. En particulier, il n'a produit aucune des pièces exigées par le Service de la population (contrat de bail, inscription au registre du commerce, liste de clients, comptabilité,...). Pour seule réponse aux différentes demandes de renseignements que lui ont adressées les autorités, il s'est en effet contenté d'indiquer, en avril 2003, soit plus de deux ans après le dépôt de sa requête en janvier 2001, qu'il était «actif dans le domaine de la vente d'immeubles et d'appartements en Suisse romande» et qu'il serait «immédiatement au travail dès (sa) mise en liberté», en ajoutant que le revenu provenant de cette activité, «soit un peu plus de 6'000 fr. nets par mois», lui permettrait de subvenir à ses besoins et de rembourser ses dettes. Ce sont toutefois là de simples déclarations d'intention qui ne sont étayées par aucune pièce et qui, au surplus, s'inscrivent dans un contexte peu propice pour qu'on puisse leur accorder le moindre crédit: en effet, les seuls «revenus» passés réalisés par le recourant en qualité de courtier immobilier dont l'existence est établie semblent se limiter, au vu des pièces au dossier, au produit des différentes infractions (escroqueries et abus de confiance) qu'il a commises dans le cadre de cette activité prétendument exercée.</w:t>
      </w:r>
    </w:p>
    <w:p>
      <w:r>
        <w:t>Faute d'avoir prouvé l'exercice d'une activité indépendante (sur cette question, cf. les Directives et commentaires de l'Office fédéral concernant l'introduction progressive de la libre-circulation des personnes, dans leur version actuelle disponible sur internet, point 4.5.3, p. 34), le recourant ne saurait déduire de l'Accord un droit de libre circulation fondé sur ce motif. Par ailleurs, il ne soutient pas qu'il pourrait exciper de l'Accord un droit de séjour à un autre titre. En particulier, il n'allègue pas qu'il serait à la recherche d'une activité salariée. Au demeurant, il a largement dépassé le temps qui pourrait lui être imparti à cette fin (cf. art. 2 par. 1 al. 2 annexe I ALCP; arrêt destiné à la publication du 7 juin 2004, 2A.565/2003, consid. 3.3).</w:t>
      </w:r>
    </w:p>
    <w:p>
      <w:r>
        <w:rPr>
          <w:b/>
        </w:rPr>
        <w:t>E. 6.4</w:t>
      </w:r>
    </w:p>
    <w:p>
      <w:r>
        <w:t>Dans la mesure où l'Accord ne confère au recourant aucun droit de libre circulation, il n'est pas nécessaire d'examiner s'il existe à son encontre un motif d'ordre public au sens de l' art. 5 annexe I ALCP .</w:t>
      </w:r>
    </w:p>
    <w:p>
      <w:r>
        <w:rPr>
          <w:b/>
        </w:rPr>
        <w:t>E. 7</w:t>
      </w:r>
    </w:p>
    <w:p>
      <w:r>
        <w:t>Il suit de ce qui précède que le recours est mal fondé.</w:t>
      </w:r>
    </w:p>
    <w:p>
      <w:r>
        <w:t>Succombant, le recourant doit supporter un émolument judiciaire ( art.156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