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2A.166/2002 vom 11. Oktober 2002</w:t>
      </w:r>
    </w:p>
    <w:p>
      <w:r>
        <w:t>Bundesgericht, 2002-10-11, DE</w:t>
      </w:r>
    </w:p>
    <w:p>
      <w:r>
        <w:rPr>
          <w:b/>
        </w:rPr>
        <w:t xml:space="preserve">Quelle: </w:t>
      </w:r>
      <w:r>
        <w:t>https://mcp.opencaselaw.ch/entscheid/bger_2A.166_2002</w:t>
      </w:r>
    </w:p>
    <w:p>
      <w:r>
        <w:t>FR: TF 2A.166/2002 du 11 octobre 2002</w:t>
      </w:r>
    </w:p>
    <w:p>
      <w:r>
        <w:t>IT: TF 2A.166/2002 del 11 ottobre 2002</w:t>
      </w:r>
    </w:p>
    <w:p>
      <w:pPr>
        <w:pStyle w:val="Heading2"/>
      </w:pPr>
      <w:r>
        <w:t>Erwägungen</w:t>
      </w:r>
    </w:p>
    <w:p>
      <w:r>
        <w:rPr>
          <w:b/>
        </w:rPr>
        <w:t>E. 1.1</w:t>
      </w:r>
    </w:p>
    <w:p>
      <w:r>
        <w:t>Gegen letztinstanzliche kantonale Entscheide betreffend die direkte Bundessteuer ist die Verwaltungsgerichtsbeschwerde zulässig (Art. 146 des Bundesgesetzes vom 14. Dezember 1990 über die direkte Bundessteuer [DBG; SR 642.11]). Der angefochtene Entscheid unterliegt mithin nur insoweit der Verwaltungsgerichtsbeschwerde an das Bundesgericht, als es sich um die direkte Bundessteuer handelt. Auf die frist- und formgerecht (vgl. Art. 106 und 108 OG ) eingereichte Eingabe des nach Art. 103 lit. a OG legitimierten Beschwerdeführers ist soweit einzutreten, als nicht die Aufhebung der die kantonalen Steuern betreffenden Ziff. 3 und 5 des Entscheides verlangt wird.</w:t>
      </w:r>
    </w:p>
    <w:p>
      <w:r>
        <w:t>Die vorliegende Beschwerde kann hinsichtlich der kantonalen Steuern auch nicht als staatsrechtliche Beschwerde entgegengenommen werden, und zwar bereits deshalb, weil der angefochtene Entscheid insofern nicht letztinstanzlich ist, was die staatsrechtliche Beschwerde ausschliesst (vgl. Art. 86 OG ).</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w:t>
      </w:r>
    </w:p>
    <w:p>
      <w:r>
        <w:t>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Über die Angemessenheit des angefochtenen Entscheides ist nicht zu befinden, da das Bundesrecht die Rüge der Unangemessenheit in der fraglichen Materie nicht vorsieht (vgl. Art. 104 lit. c OG ).</w:t>
      </w:r>
    </w:p>
    <w:p>
      <w:r>
        <w:rPr>
          <w:b/>
        </w:rPr>
        <w:t>E. 2.1</w:t>
      </w:r>
    </w:p>
    <w:p>
      <w:r>
        <w:t>Nach Art. 130 DBG prüft die Veranlagungsbehörde die Steuererklärung und nimmt die erforderlichen Untersuchungen vor (Abs. 1). Hat der Steuerpflichtige trotz Mahnung seine Verfahrenspflichten nicht erfüllt oder können die Steuerfaktoren mangels zuverlässiger Unterlagen nicht einwandfrei ermittelt werden, so nimmt die Veranlagungsbehörde eine Veranlagung nach pflichtgemässem Ermessen vor. Sie kann dabei Erfahrungszahlen, Vermögensentwicklung und Lebensaufwand des Steuerpflichtigen berücksichtigen (Abs. 2).</w:t>
      </w:r>
    </w:p>
    <w:p>
      <w:r>
        <w:t>Eine Ermessensveranlagung kann nicht nur vorgenommen werden, wenn der Steuerpflichtige seiner Pflicht, die Steuerbehörde zu informieren, nicht nachkommt, sondern auch dann, wenn die von ihm gelieferten Angaben ungenügend sind, ungeachtet ob ihm die mangelhaften Auskünfte über seine Verhältnisse zurechenbar sind (vgl. RDAF 2000 2 S. 41, E. 2b S. 43).</w:t>
      </w:r>
    </w:p>
    <w:p>
      <w:r>
        <w:rPr>
          <w:b/>
        </w:rPr>
        <w:t>E. 2.2</w:t>
      </w:r>
    </w:p>
    <w:p>
      <w:r>
        <w:t>Der Steuerpflichtige muss soweit möglich nach seiner tatsächlichen wirtschaftlichen Leistungsfähigkeit veranlagt werden. Bei der Ermessenseinschätzung hat die Steuerbehörde von Amtes wegen alle Unterlagen nach ihrem eigenen Ermessen zu berücksichtigen, die ihr im Zeitpunkt ihres Entscheides zur Verfügung stehen. Es kann von ihr jedoch nicht die Durchführung allzu eingehender Untersuchungen und Abklärungen verlangt werden, besonders wenn sie nicht über beweiskräftige Unterlagen verfügt (vgl. RDAF 2000 2 S. 41, E. 2d S. 44; Pra 88/1999 Nr. 168 S. 882). Die Steuerbehörde hat eine vorsichtige Schätzung vorzunehmen (Urteil des Bundesgerichts vom 19. Oktober 1979 in ASA 50 S. 371, E. 3b), ohne allerdings dazu verpflichtet zu sein, bei der durch das Verhalten des Pflichtigen bedingten Ermessensbetätigung im Zweifelsfall die für diesen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(Urteil des Bundesgerichts vom 30. Oktober 1987 in ASA 58 S. 673, E. 3b mit Hinweisen).</w:t>
      </w:r>
    </w:p>
    <w:p>
      <w:r>
        <w:rPr>
          <w:b/>
        </w:rPr>
        <w:t>E. 2.3</w:t>
      </w:r>
    </w:p>
    <w:p>
      <w:r>
        <w:t>Der Steuerpflichtige kann eine Ermessensveranlagung nur wegen offensichtlicher Unrichtigkeit anfechten. Die Einsprache ist zudem zu begründen und muss allfällige Beweismittel nennen ( Art. 132 Abs. 3 DBG ). Offensichtlich unrichtig ist eine Schätzung, die einen wesentlichen erwägenswerten Gesichtspunkt übergangen oder falsch gewürdigt hat (StR 49/1994 S. 263, E. 1b; ASA 39 S. 194, E. 3c; 43 S. 171; 58 S. 672, E. 1b).</w:t>
      </w:r>
    </w:p>
    <w:p>
      <w:r>
        <w:rPr>
          <w:b/>
        </w:rPr>
        <w:t>E. 2.4</w:t>
      </w:r>
    </w:p>
    <w:p>
      <w:r>
        <w:t>Zu prüfen ist zunächst, ob die Voraussetzungen für eine Ermessensveranlagung erfüllt waren. Nach den Feststellungen der Vorinstanz ist der Beschwerdeführer seinen Deklarations- und Mitwirkungspflichten im Veranlagungs- und Rekursverfahren in keiner Weise nachgekommen.</w:t>
      </w:r>
    </w:p>
    <w:p>
      <w:r>
        <w:t>Bei den Akten befinden sich ein Bundesordner, Klarsichtmäppchen mit Kontoauszügen, Gutschrift- und Lastschriftanzeigen, Strafmandaten, Mahnungen, Rechnungen, Notizen und ähnlichem sowie ein Umschlag mit Spesenabrechnungen. Die Belege sind in keiner Weise systematisch geordnet. Die Steuererklärungen und die Beilagenblätter sind, wenn überhaupt, unsorgfältig und teilweise unleserlich ausgefüllt. Dies genügt den Anforderungen an eine vollständige Steuererklärung bzw. an zuverlässige Aufstellungen von Selbständigerwerbenden, aufgrund derer die Steuerfaktoren einwandfrei ermittelt werden können, nicht. Die Voraussetzungen für eine Ermessensveranlagung sind vorliegend erfüllt.</w:t>
      </w:r>
    </w:p>
    <w:p>
      <w:r>
        <w:rPr>
          <w:b/>
        </w:rPr>
        <w:t>E. 2.5</w:t>
      </w:r>
    </w:p>
    <w:p>
      <w:r>
        <w:t>Zu prüfen ist weiter die Höhe der vorgenommenen Ermessensveranlagung. Anders als die Rekurskommission prüft das Bundesgericht bei einer Ermessenseinschätzung nur, ob die Voraussetzungen hiefür erfüllt sind und ob die kantonalen Behörden ihr Ermessen überschritten haben. Es hebt eine Ermessensveranlagung nur auf, wenn die kantonalen Behörden nicht von haltbaren Grundlagen ausgegangen sind und ihnen in die Augen springende Fehler oder Irrtümer unterlaufen sind, so dass die Schätzung als offensichtlich falsch erscheint. Offensichtlich unrichtig ist eine Schätzung, die einen wesentlichen erwägenswerten Gesichtspunkt übergangen oder falsch gewürdigt hat (StR 49/1994 S. 263, E. 1b; ASA 39 S. 194, E. 3c; 43 S. 171; 58 S. 672, E. 1b). Nur unter diesem beschränkten Gesichtswinkel sind die angefochtenen Ermessensveranlagungen zu prüfen.</w:t>
      </w:r>
    </w:p>
    <w:p>
      <w:r>
        <w:t>Will ein Steuerpflichtiger vor Bundesgericht eine Ermessensveranlagung anfechten, muss er sich mit deren einzelnen Elementen auseinandersetzen und zeigen, dass die Schätzung auf unhaltbaren Grundlagen oder auf offensichtlich unrichtigen Sachverhaltsfeststellungen beruht. Auch ist klar darzutun und im Einzelnen zu belegen, dass und weshalb eine vorgenommene Schätzung offensichtlich falsch sein soll bzw. wesentliche erwägenswerte Gesichtspunkte übergangen oder falsch gewürdigt hat (Urteil des Bundesgerichts 2A.351/1998 vom 15. Oktober 1999, E. 4c).</w:t>
      </w:r>
    </w:p>
    <w:p>
      <w:r>
        <w:rPr>
          <w:b/>
        </w:rPr>
        <w:t>E. 2.6</w:t>
      </w:r>
    </w:p>
    <w:p>
      <w:r>
        <w:t>Der Beschwerdeführer macht geltend, der Sachverhalt sei offensichtlich unrichtig und unvollständig festgestellt. Es sei ihm nie zur Kenntnis gebracht worden, welche Unterlagen als nicht beweiskräftig angesehen würden. Der Beschwerdeführer ist von der Steuerverwaltung wiederholt aufgefordert worden, die vollständige Steuererklärung und die Einlageblätter für Selbständigerwerbende einzureichen. Aus den Fragestellungen des Beschwerdeführers in seiner Vernehmlassung vom 23. Oktober 2000 zu den Zustimmungserklärungen vom 13. September 2000 geht hervor, dass er wesentliche Problemkreise erkannt hatte. Es wäre jedoch an ihm gewesen, diese Fragen nicht nur aufzuwerfen, sondern deren Relevanz aufzuzeigen und durch übersichtliche Aufstellungen zu belegen. Wer statt der geforderten Aufstellungen über Aktiven und Passiven, Einnahmen und Ausgaben sowie Privatentnahmen und Privateinlagen ( Art. 125 Abs. 2 DBG ) der Steuerverwaltung einen ungeordneten Haufen Belege und Rechnungen abgibt, verhält sich widersprüchlich, wenn er später rügt, er habe nicht gewusst, welche Unterlagen als nicht beweiskräftig angesehen worden seien.</w:t>
      </w:r>
    </w:p>
    <w:p>
      <w:r>
        <w:t>Soweit der Beschwerdeführer geltend macht, "das gleiche Substrat" sei als Einkommen und als angefangene Arbeit zweimal besteuert worden, bleibt er den entsprechenden Nachweis schuldig. Es liegt in seinem Verantwortungsbereich, die entsprechenden Posten vollständig aufzulisten und zu dokumentieren. Dasselbe gilt für Personalkosten, die er zu belegen hat. Es ist nicht Aufgabe der Steuerverwaltung, diese Zahlungen in Buchhaltungen Dritter ausfindig zu machen.</w:t>
      </w:r>
    </w:p>
    <w:p>
      <w:r>
        <w:t>Sodann kann keinem der Argumente des Beschwerdeführers, warum sein Einkommen unter Fr. 80'000.-- liegen müsse, gefolgt werden. Das Beitragsmaximum bei der gebundenen Vorsorge muss nicht zwingend ausgenutzt werden. Die Umfrage des Bernischen Anwaltsverbands, wonach die Einkommen von jungen Anwälten ohne eigenes Personal weit unter Fr. 100'000.-- liegen sollen, war bei einer geschätzten Rücklaufquote von 15-17% nicht repräsentativ. Zudem sind auch bei Einkommen von unter Fr. 100'000.-- Umsätze von Fr. 121'880.-- und Fr. 98'647.--, wie sie von der Steuerverwaltung ermessensweise angenommen wurden, durchaus wahrscheinlich. Da die Mehrwertsteuer und die direkte Bundessteuer nach verschiedenen Systemen aufgebaut sind, kann der Beschwerdeführer daraus, dass er in der fraglichen Zeit nicht der Mehrwertsteuerpflicht unterlag, vorliegend nichts für die direkte Bundessteuer ableiten.</w:t>
      </w:r>
    </w:p>
    <w:p>
      <w:r>
        <w:t>Nach Art. 28 Abs. 1 DBG sind geschäftsmässig begründete Abschreibungen von Aktiven zulässig, soweit sie buchmässig oder, wenn eine kaufmännische Buchhaltung fehlt, in besonderen Abschreibungstabellen enthalten sind. Der Beschwerdeführer führt weder eine doppelte Buchhaltung noch einfache Aufstellungen, wie sie von Art. 125 Abs. 2 DBG verlangt werden. Wenn die Steuerverwaltung dennoch eine Abschreibung von Fr. 6'500.-- jährlich zulässt und nur die darüber hinausgehende von Fr. 21'000.-- aufrechnet, ist dies nicht zu beanstanden.</w:t>
      </w:r>
    </w:p>
    <w:p>
      <w:r>
        <w:rPr>
          <w:b/>
        </w:rPr>
        <w:t>E. 2.7</w:t>
      </w:r>
    </w:p>
    <w:p>
      <w:r>
        <w:t>Die Vorinstanz hat sich nur sehr summarisch mit den Elementen der Ermessensveranlagung befasst. Sie führte lediglich aus, die eingereichten Unterlagen könnten in keiner Weise den umfassenden Mitwirkungspflichten genügen. Der Beschwerdeführer sei nicht einmal im Stande, einen konkreten Antrag zu formulieren und anzugeben, wie hoch sein steuerbares Einkommen sein solle. Im Gegenzug jedoch kritisiere er in unbegründeter Weise die korrekten Ermessensveranlagungen der Steuerverwaltung. Aufgrund dieser kurzen Überlegungen wurden die Beschwerden abgewiesen.</w:t>
      </w:r>
    </w:p>
    <w:p>
      <w:r>
        <w:t>Richtig ist, dass der Beschwerdeführer für die Steuerperiode 1999/2000 für die direkte Bundessteuer keine Selbstschatzung abgegeben hatte. Die Begründung der Vorinstanz ist sehr kurz ausgefallen. Indem sie die Ermessensveranlagungen der Steuerverwaltung als korrekt bezeichnete, hat sie sich immerhin implizit deren Begründung angeschlossen. Diese hatte ihren Veranlagungen die Zustimmungserklärungen vom 13. September 2000 und Expertenberichte mit Beilagen zu Grunde gelegt, welche dem Beschwerdeführer vorgängig zur Kenntnis- und Stellungnahme zugestellt worden waren. Die Expertenberichte und Beilagen enthielten detaillierte Angaben.</w:t>
      </w:r>
    </w:p>
    <w:p>
      <w:r>
        <w:t>Der Beschwerdeführer legt in keinem Punkt konkret dar, dass und weshalb die Schätzungen der Vorinstanz offensichtlich unrichtig sein sollten. Insofern erscheint die Ermessensveranlagung nicht als unhaltbar. Indessen bleibt zu prüfen, ob die Begründung des angefochtenen Entscheides den Anforderungen an die Gewährung des rechtlichen Gehörs genügt.</w:t>
      </w:r>
    </w:p>
    <w:p>
      <w:r>
        <w:rPr>
          <w:b/>
        </w:rPr>
        <w:t>E. 3.1</w:t>
      </w:r>
    </w:p>
    <w:p>
      <w:r>
        <w:t>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 BGE 127 I 54 E. 2b S. 56). Das Recht, angehört zu werden, ist formeller Natur. Die Verletzung des rechtlichen Gehörs führt ungeachtet der Erfolgsaussichten der Beschwerde in der Sache selbst grundsätzlich zur Aufhebung des angefochtenen Entscheids ( BGE 126 V 130 E. 2b S. 132; 124 V 389 E. 1 S. 389; 118 Ia 17 E. 1a S. 18).</w:t>
      </w:r>
    </w:p>
    <w:p>
      <w:r>
        <w:t>Aus der Garantie des rechtlichen Gehörs wird der Anspruch abgeleitet, dass die Behörde die Vorbringen der in ihrer Rechtsstellung Betroffenen sorgfältig und ernsthaft prüft und beim Entscheid berücksichtigt. Folge dieser Prüfungspflicht ist insbesondere die behördliche Begründungspflicht. Der Bürger soll wissen, warum die Behörde entgegen seinem Antrag entschieden hat. Zudem kann durch die Verpflichtung zur Offenlegung der Entscheidgründe verhindert werden, dass sich die Behörde von unsachlichen Motiven leiten lässt. Die Begründung eines Verwaltungsakts oder eines Entscheids muss so abgefasst sein, dass die Betroffenen ihn gegebenenfalls sachgerecht anfechten können. Das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 BGE 126 I 97 E. 2b S. 102; 124 II 146 E. 2a S. 149 ; 123 I 31 E. 2c S. 34, mit Hinweisen).</w:t>
      </w:r>
    </w:p>
    <w:p>
      <w:r>
        <w:t>Das bedeutet jedoch nicht, dass sich die Behörde ausdrücklich mit jeder tatbeständlichen Behauptung, mit jedem rechtlichen Einwand und mit jedem Beweismittel auseinandersetzen muss. Vielmehr kann sie sich auf die für den Entscheid wesentlichen Gesichtspunkte beschränken ( BGE 112 Ia 107 E. 2b S. 110 sowie die oben zitierte Rechtsprechung; vgl. auch Alfred Kölz / Jürg Bosshart / Martin Röhl, Kommentar zum Verwaltungsrechtspflegegesetz des Kantons Zürich, 2. Auflage 1999, Rz. 11 f. zu § 8 und Rz. 39 zu § 10; Thomas Merkli / Arthur Aeschlimann / Ruth Herzog, Kommentar zum Gesetz über die Verwaltungsrechtspflege im Kanton Bern, Bern 1997, Rz. 5 ff. zu Art. 52).</w:t>
      </w:r>
    </w:p>
    <w:p>
      <w:r>
        <w:rPr>
          <w:b/>
        </w:rPr>
        <w:t>E. 3.2</w:t>
      </w:r>
    </w:p>
    <w:p>
      <w:r>
        <w:t>Die Begründung der Vorinstanz fiel zwar dürftig aus. Aufgrund der obgenannten Zustimmungserklärungen sowie der Expertenberichte und Berechnungen können jedoch die Veranlagungen in den wesentlichen Teilen nachvollzogen werden. Indem die Steuerverwaltung in ihrem Einspracheentscheid festhielt, dass sich aus der Vernehmlassung des Beschwerdeführers "keine neuen, begründeten Erkenntnisse (ergeben), welche eine Neuberechnung der aufgrund unvollständiger und somit nicht beweiskräftiger Unterlagen teilweise nach Ermessen festgesetzten Veranlagung rechtfertigt", machte sie klar, dass sie trotz der aufgeworfenen Fragen in diesem offensichtlichen Fall an ihrem Einschätzungsvorschlag festhalten wollte. Wie bereits oben ausgeführt, war es zudem nicht am Beschwerdeführer Fragen zu stellen, sondern diese zu beantworten. Aufgrund des vorgelegten Zahlenmaterials war es für die Vorinstanz nicht notwendig, diese Fragen zu beantworten. Sie konnte vielmehr davon ausgehen, dass dem Beschwerdeführer die wesentlichen Kriterien sowie deren Bewertung durch die Steuerverwaltung, der sich die Rekurskommission anschloss, bekannt waren. Damit konnte sie es bei einer kurzen eigenen Begründung bewenden lassen. Der Beschwerdeführer konnte sich über die Tragweite des Entscheides ein Bild machen, womit sich dieser als gerade noch ausreichend begründet erweist.</w:t>
      </w:r>
    </w:p>
    <w:p>
      <w:r>
        <w:rPr>
          <w:b/>
        </w:rPr>
        <w:t>E. 3.3</w:t>
      </w:r>
    </w:p>
    <w:p>
      <w:r>
        <w:t>Der Beschwerdeführer beanstandet sodann unter dem Gesichtswinkel des Anspruchs auf rechtliches Gehör, die Aufrechnung eines Anteils von Fr. 21'000.-- für die private Nutzung des Geschäftsfahrzeugs im Jahr 1998 sei nicht nachvollziehbar. Und schliesslich habe sich die Vorinstanz mit dem Einwand, dass Anwälte ohne eigenes Personal viel weniger als Fr. 70'000.-- verdienen würden, nicht auseinandergesetzt.</w:t>
      </w:r>
    </w:p>
    <w:p>
      <w:r>
        <w:t>Die Aufrechnung eines Anteils von Fr. 21'000.-- für die private Nutzung des Geschäftsfahrzeugs hat die Steuerverwaltung im Expertenbericht separat aufgeführt, so dass zusammen mit der Steuererklärung überprüfbar war, dass lediglich Fr. 6'500.-- (wie bisher) akzeptiert worden waren.</w:t>
      </w:r>
    </w:p>
    <w:p>
      <w:r>
        <w:t>Im Übrigen muss sich die Behörde nicht ausdrücklich mit jeder tatbeständlichen Behauptung, mit jedem rechtlichen Einwand und mit jedem Beweismittel auseinandersetzen. Namentlich durfte die Vorinstanz bzw. die Steuerverwaltung über die Pauschalbehauptung, dass Anwälte ohne eigenes Personal viel weniger als Fr. 70'000.-- verdienten, ohne Verletzung des rechtlichen Gehörs hinweggehen.</w:t>
      </w:r>
    </w:p>
    <w:p>
      <w:r>
        <w:rPr>
          <w:b/>
        </w:rPr>
        <w:t>E. 4</w:t>
      </w:r>
    </w:p>
    <w:p>
      <w:r>
        <w:t>Soweit der Beschwerdeführer die Unangemessenheit des angefochtenen Entscheides rügt, ist darauf nicht einzutreten ( Art. 104 lit. c OG ). Aufgrund der vorstehenden Erwägungen lässt sich kein Ermessensmissbrauch erkennen. Ebenso wenig zeigt der Beschwerdeführer mit seinen pauschalierenden Äusserungen konkrete Missbräuche auf.</w:t>
      </w:r>
    </w:p>
    <w:p>
      <w:r>
        <w:rPr>
          <w:b/>
        </w:rPr>
        <w:t>E. 5</w:t>
      </w:r>
    </w:p>
    <w:p>
      <w:r>
        <w:t>Die Beschwerde erweist sich somit als unbegründet und ist abzuweisen, soweit darauf eingetreten werden kann. Entsprechend diesem Verfahrensausgang sind die bundesgerichtlichen Kosten dem Beschwerdeführer aufzuerlegen ( Art. 156 Abs. 1 OG ). Eine Parteientschädigung wird nicht ausgerichtet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