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2A.163/2005 vom 22. März 2005</w:t>
      </w:r>
    </w:p>
    <w:p>
      <w:r>
        <w:t>Bundesgericht, 2005-03-22, IT</w:t>
      </w:r>
    </w:p>
    <w:p>
      <w:r>
        <w:rPr>
          <w:b/>
        </w:rPr>
        <w:t xml:space="preserve">Quelle: </w:t>
      </w:r>
      <w:r>
        <w:t>https://mcp.opencaselaw.ch/entscheid/bger_2A.163_2005</w:t>
      </w:r>
    </w:p>
    <w:p>
      <w:r>
        <w:t>FR: TF 2A.163/2005 du 22 mars 2005</w:t>
      </w:r>
    </w:p>
    <w:p>
      <w:r>
        <w:t>IT: TF 2A.163/2005 del 22 marzo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si pronuncia d'ufficio e con pieno potere d'esame sull'ammissibilità del rimedio sottopostogli ( DTF 129 III 107 consid. 1 e richiami).</w:t>
      </w:r>
    </w:p>
    <w:p>
      <w:r>
        <w:rPr>
          <w:b/>
        </w:rPr>
        <w:t>E. 1.1</w:t>
      </w:r>
    </w:p>
    <w:p>
      <w:r>
        <w:t>In materia di diritto degli stranieri, il ricorso di diritto amministrativo non è proponibile contro il rilascio o il rifiuto di un permesso, salvo laddove un diritto all'ottenimento dello stesso si fonda su una disposizione del diritto federale o di un trattato internazionale (art.100 cpv. 1 lett. b n. 3 OG; DTF 128 II 145 consid. 1.1.1). Indipendentemente dall'esistenza di un tale diritto, il rimedio in questione è comunque esperibile in relazione a decisioni di revoca di permessi (art. 101 lett. d OG). Rivolta contro la sentenza cantonale che conferma la revoca dei permessi di dimora rilasciati fino al 3 maggio 2005 ed inoltrata tempestivamente ( art. 106 cpv. 1 OG ) da persone legittimate ad agire ( art. 103 lett. a OG ), l'impugnativa è quindi, di principio, ammissibile.</w:t>
      </w:r>
    </w:p>
    <w:p>
      <w:r>
        <w:rPr>
          <w:b/>
        </w:rPr>
        <w:t>E. 1.2</w:t>
      </w:r>
    </w:p>
    <w:p>
      <w:r>
        <w:t>Il ricorso in esame è invece inammissibile nella misura in cui è chiesto l'annullamento della decisione di prima istanza, visto l'effetto devolutivo legato al ricorso di diritto amministrativo ( DTF 125 II 29 consid. 1c).</w:t>
      </w:r>
    </w:p>
    <w:p>
      <w:r>
        <w:rPr>
          <w:b/>
        </w:rPr>
        <w:t>E. 2.1</w:t>
      </w:r>
    </w:p>
    <w:p>
      <w:r>
        <w:t>I fatti accertati dal Tribunale amministrativo i quali - per quanto concerne gli elementi determinanti ai fini del giudizio, non sono manifestamente inesatti o incompleti - sono vincolanti per questa Corte ( art. 105 cpv. 2 OG ). Le critiche rivolte all'accertamento di alcuni punti, che comunque sono irrilevanti in concreto, vanno quindi disattese. Nella fattispecie emerge dalla sentenza querelata - ciò che peraltro il ricorrente non contesta - che dal 1° luglio 2004 i coniugi A.________ vivono separati, ognuno organizzando autonomamente la propria vita. Orbene, riguardo a questa constatazione, il ricorrente non dimostra né fornisce la prova che vi sia la possibilità o perlomeno la volontà di entrambi i coniugi di una ripresa della vita comune. In effetti, egli non ha presentato alcun elemento concreto che provi che vi sia un effettivo e reale ravvicinamento tra i consorti come anche non ha dato alcuna indicazione su cosa e quanto avrebbe intrapreso per concretizzare la sua pretesa speranza di riconciliarsi con sua moglie. In queste condizioni, non vi è nessun elemento agli atti che permette di ritenere che la separazione sia provvisoria, il ricorrente limitandosi a far menzione della sua intenzione di riprendere la vita coniugale interrotta. È quindi chiaro che non sussiste più né una vera e propria relazione sentimentale tra gli interessati né la volontà di entrambi i coniugi - al di là del semplice parlato - di una ripresa della vita comune. Di conseguenza, è dunque senza incorrere nella violazione del diritto federale che la Corte ticinese è giunta alla conclusione che il ricorrente, abusando dei diritti che gli derivano dall'art. 7 cpv. 1 prima frase LDDS, si richiamava ad un matrimonio esistente soltanto sulla carta al solo scopo di potere fruire dell'autorizzazione a soggiornare in Svizzera (sulla nozione di abuso di diritto, cfr. DTF 128 II 145 consid. 2.2; 127 II 49 consid. 5a; 123 II 49 consid. 4 e 5; 121 II 97 consid. 2 e 4).</w:t>
      </w:r>
    </w:p>
    <w:p>
      <w:r>
        <w:rPr>
          <w:b/>
        </w:rPr>
        <w:t>E. 2.2</w:t>
      </w:r>
    </w:p>
    <w:p>
      <w:r>
        <w:t>In queste circostanze, il fatto che il ricorrente sia stato costretto dalla consorte a lasciare il domicilio coniugale oppure la circostanza che egli si sia integrato ed abbia un lavoro non sono di rilievo ai fini del giudizio.</w:t>
      </w:r>
    </w:p>
    <w:p>
      <w:r>
        <w:rPr>
          <w:b/>
        </w:rPr>
        <w:t>E. 2.3</w:t>
      </w:r>
    </w:p>
    <w:p>
      <w:r>
        <w:t>Visto quanto precede, è quindi a ragione che la corte cantonale ha considerato che non era più adempiuta una condizione imposta all'atto di concessione del permesso di dimora del cui ricorrente: la revoca di detto permesso - per i pertinenti motivi esposti nella sentenza impugnata che vengono qui interamente condivisi - non disattende pertanto l' art. 9 cpv. 2 lett. b LDDS ed è rispettosa del principio della proporzionalità. Il Tribunale federale non può invece - nel senso di un controllo dell'adeguatezza (opportunità, cfr. DTF 116 Ib 353 consid. 2b) della revoca contestata - sostituire il proprio potere d'apprezzamento a quello di cui dispone la competente autorità cantonale (cfr. DTF 125 II 521 consid. 2a, 105 consid. 2a e rispettivi riferimenti).</w:t>
      </w:r>
    </w:p>
    <w:p>
      <w:r>
        <w:rPr>
          <w:b/>
        </w:rPr>
        <w:t>E. 2.4</w:t>
      </w:r>
    </w:p>
    <w:p>
      <w:r>
        <w:t>Per quanto riguarda la figlia B.A.________, si deve considerare che ella era stata autorizzata a risiedere in Svizzera al solo scopo di poter stare vicino al padre. Con la revoca del permesso di dimora di quest'ultimo vengono pertanto a cadere le condizioni affinché ella possa continuare a soggiornare nel nostro Paese. Anche da questo punto di vista la decisione impugnata, ai cui pertinenti considerandi si rinvia, non presta dunque il fianco a nessuna critica.</w:t>
      </w:r>
    </w:p>
    <w:p>
      <w:r>
        <w:rPr>
          <w:b/>
        </w:rPr>
        <w:t>E. 3</w:t>
      </w:r>
    </w:p>
    <w:p>
      <w:r>
        <w:t>Infine, il ricorrente non può nemmeno appellarsi all' art. 8 CEDU , che garantisce il rispetto della vita privata e familiare. Affinché tale norma sia applicabile occorre, secondo la prassi, che tra lo straniero che domanda un permesso di dimora e la persona della sua famiglia che beneficia del diritto di risiedere in Svizzera esista una relazione stretta, intatta ed effettivamente vissuta ( DTF 127 II 60 consid. 1d/aa; 126 II 377 consid. 1b e riferimenti). Dal momento che, come osservato in precedenza, tali presupposti non sono in concreto adempiuti, il ricorrente non può quindi invocare detto disposto.</w:t>
      </w:r>
    </w:p>
    <w:p>
      <w:r>
        <w:rPr>
          <w:b/>
        </w:rPr>
        <w:t>E. 4</w:t>
      </w:r>
    </w:p>
    <w:p>
      <w:r>
        <w:t>Per il resto, si può rinviare ai pertinenti considerandi della sentenza contestata ( art. 36a cpv. 3 OG ), che vanno qui interamente condivisi.</w:t>
      </w:r>
    </w:p>
    <w:p>
      <w:r>
        <w:rPr>
          <w:b/>
        </w:rPr>
        <w:t>E. 5.1</w:t>
      </w:r>
    </w:p>
    <w:p>
      <w:r>
        <w:t>Manifestamente infondato, il ricorso può essere deciso secondo la procedura semplificata di cui all' art. 36a OG . Con l'evasione del gravame, la domanda di conferimento dell'effetto sospensivo è divenuta priva d'oggetto.</w:t>
      </w:r>
    </w:p>
    <w:p>
      <w:r>
        <w:rPr>
          <w:b/>
        </w:rPr>
        <w:t>E. 5.2</w:t>
      </w:r>
    </w:p>
    <w:p>
      <w:r>
        <w:t>Poiché il ricorso era sin dall'inizio privo di possibilità di esito favorevole, l'istanza volta ad ottenere il beneficio dell'assistenza giudiziaria con nomina di un avvocato d'ufficio va respinta ( art. 152 OG ). Ciò non impedisce comunque di tenere conto della situazione finanziaria modesta dei ricorrenti per determinare l'ammontare delle spese processuali a loro carico ( art. 156 cpv. 1, 153 e 153a OG ). Non si assegnano ripetibili ad autorità vincenti ( art. 159 cpv. 2 OG ).</w:t>
      </w:r>
    </w:p>
    <w:p>
      <w:r>
        <w:t>Per questi motivi, visto l' art. 36a OG , il Tribunale federale pronuncia:</w:t>
      </w:r>
    </w:p>
    <w:p>
      <w:r>
        <w:t>1.</w:t>
      </w:r>
    </w:p>
    <w:p>
      <w:r>
        <w:t>Nella misura in cui è ammissibile, il ricorso è respinto.</w:t>
      </w:r>
    </w:p>
    <w:p>
      <w:r>
        <w:t>2.</w:t>
      </w:r>
    </w:p>
    <w:p>
      <w:r>
        <w:t>La domanda di assistenza giudiziaria è respinta.</w:t>
      </w:r>
    </w:p>
    <w:p>
      <w:r>
        <w:t>3.</w:t>
      </w:r>
    </w:p>
    <w:p>
      <w:r>
        <w:t>La tassa di giustizia di fr. 800.-- è posta a carico dei ricorrenti.</w:t>
      </w:r>
    </w:p>
    <w:p>
      <w:r>
        <w:t>4.</w:t>
      </w:r>
    </w:p>
    <w:p>
      <w:r>
        <w:t>Comunicazione alla patrocinatrice dei ricorrenti, al Consiglio di Stato e al Tribunale amministrativo del Cantone Ticino nonché all'Ufficio federale del migrazione.</w:t>
      </w:r>
    </w:p>
    <w:p>
      <w:r>
        <w:t>Losanna, 22 marzo 2005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