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2A.161/2004 vom 19. Juli 2004</w:t>
      </w:r>
    </w:p>
    <w:p>
      <w:r>
        <w:t>Bundesgericht, 2004-07-19, DE</w:t>
      </w:r>
    </w:p>
    <w:p>
      <w:r>
        <w:rPr>
          <w:b/>
        </w:rPr>
        <w:t xml:space="preserve">Quelle: </w:t>
      </w:r>
      <w:r>
        <w:t>https://mcp.opencaselaw.ch/entscheid/bger_2A.161_2004</w:t>
      </w:r>
    </w:p>
    <w:p>
      <w:r>
        <w:t>FR: TF 2A.161/2004 du 19 juillet 2004</w:t>
      </w:r>
    </w:p>
    <w:p>
      <w:r>
        <w:t>IT: TF 2A.161/2004 del 19 luglio 2004</w:t>
      </w:r>
    </w:p>
    <w:p>
      <w:pPr>
        <w:pStyle w:val="Heading2"/>
      </w:pPr>
      <w:r>
        <w:t>Regeste</w:t>
      </w:r>
    </w:p>
    <w:p>
      <w:r>
        <w:t>Bürgerrecht und Ausländerrecht</w:t>
      </w:r>
    </w:p>
    <w:p>
      <w:pPr>
        <w:pStyle w:val="Heading2"/>
      </w:pPr>
      <w:r>
        <w:t>Erwägungen</w:t>
      </w:r>
    </w:p>
    <w:p>
      <w:r>
        <w:rPr>
          <w:b/>
        </w:rPr>
        <w:t>E. 1.1</w:t>
      </w:r>
    </w:p>
    <w:p>
      <w:r>
        <w:t>Nach Art. 7 des Bundesgesetzes vom 26. März 1931 über Aufenthalt und Niederlassung der Ausländer (ANAG; SR 142.20) hat der ausländische Ehegatte eines Schweizer Bürgers grundsätzlich Anspruch auf Erteilung und Verlängerung der Aufenthaltsbewilligung (Abs. 1 Satz 1). Für das Eintreten auf die Verwaltungsgerichtsbeschwerde (vgl. Art. 100 Abs. 1 lit. b Ziff. 3 OG in Verbindung mit Art. 4 ANAG ) ist lediglich entscheidend, ob formell eine eheliche Beziehung besteht; anders als bei Art. 8 EMRK ist nicht erforderlich, dass diese auch intakt ist und tatsächlich gelebt wird ( BGE 126 II 265 E. 1b S. 266; 122 II 289 E. 1b S. 292). Auf die Beschwerde gegen die Verweigerung einer Aufenthaltsbewilligung an den ausländischen Ehegatten einer Schweizer Bürgerin ist daher einzutreten. Die Frage, ob die Bewilligung verweigert werden muss, weil einer der in Art. 7 ANAG vorbehaltenen Ausnahmetatbestände oder ein Verstoss gegen das Rechtsmissbrauchsverbot vorliegt, betrifft nicht das Eintreten, sondern bildet Gegenstand der materiellen Beurteilung ( BGE 126 II 265 E. 1b S. 266; 124 II 289 E. 2b S. 291).</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1.3</w:t>
      </w:r>
    </w:p>
    <w:p>
      <w:r>
        <w:t>Das Bundesgericht wendet das Bundesrecht bei der Verwaltungsgerichtsbeschwerde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7 Abs. 2 ANAG hat der ausländische Ehegatte eines Schweizer Bürgers keinen Anspruch auf die ihm nach Absatz 1 grundsätzlich zustehende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mit Hinweis).</w:t>
      </w:r>
    </w:p>
    <w:p>
      <w:r>
        <w:rPr>
          <w:b/>
        </w:rPr>
        <w:t>E. 2.2</w:t>
      </w:r>
    </w:p>
    <w:p>
      <w:r>
        <w:t>Dass Ehegatten mit der Heirat nicht eine eheliche Lebensgemeinschaft begründen, sondern die Vorschriften über Aufenthalt und Niederlassung von Ausländern umgehen wollen, entzieht sich in der Regel dem direkten Beweis und kann insofern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 lebten und intime Beziehungen unterhielten; ein derartiges Verhalten kann auch nur vorgespiegelt sein, um die Behörden zu täuschen ( BGE 122 II 289 E. 2b S. 295,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andern Worten nicht an, sofern der Wille vorhanden ist, eine Lebensgemeinschaft zu begründen ( BGE 121 II 97 E. 3b in fine S. 102; unveröffentlichtes Urteil des Bundesgerichts vom 1. Dezember 2000 [2A.397/2000] E. 3a in fine).</w:t>
      </w:r>
    </w:p>
    <w:p>
      <w:r>
        <w:rPr>
          <w:b/>
        </w:rPr>
        <w:t>E. 3.1</w:t>
      </w:r>
    </w:p>
    <w:p>
      <w:r>
        <w:t>Das Verwaltungsgericht ist zur Auffassung gelangt, dass von Seiten des Beschwerdeführers die Ehe nur geschlossen worden sei, um die Vorschriften über Aufenthalt und Niederlassung in der Schweiz zu umgehen. In der Tat bestehen hier mehrere Indizien für eine Scheinehe, darunter insbesondere der Altersunterschied von 16 Jahren und die Tatsache, dass der Beschwerdeführer als abgewiesener Asylbewerber ohne die Heirat mit einer Schweizerin oder einer hier niedergelassenen Ausländerin kaum zu einer Aufenthaltsbewilligung in der Schweiz käme. Ebenso mutet das Fehlen eines Familienfestes und die bescheidene Hochzeitsfeier - eine Mahlzeit im Restaurant in kleinem Kreise - ungewöhnlich an. Ob die - in einigen Punkten widersprüchlichen - Aussagen der Beschwerdeführer zu den genauen Umständen des Kennenlernens ein weiteres Indiz für eine Scheinehe darstellen, wie das Verwaltungsgericht festhält, oder ob es sich dabei um Missverständnisse aufgrund fehlender Sprachkenntnisse des Beschwerdeführers handelt, ist hingegen im Gesamtzusammenhang von untergeordneter Bedeutung.</w:t>
      </w:r>
    </w:p>
    <w:p>
      <w:r>
        <w:rPr>
          <w:b/>
        </w:rPr>
        <w:t>E. 3.2</w:t>
      </w:r>
    </w:p>
    <w:p>
      <w:r>
        <w:t>Indessen leben die beiden Ehepartner seit der Heirat zusammen; es bestehen keine konkreten Hinweise darauf, dass heute keine eheliche Gemeinschaft gelebt würde. Da es aber nach der bundesgerichtlichen Rechtsprechung, wie oben ausgeführt (E. 2.2 in fine), für die Verneinung eines Anspruchs gemäss Art. 7 ANAG nicht genügt, dass die Ehe aus ausländerrechtlichen Motiven geschlossen wurde, sondern dass zudem feststehen muss, dass keine eheliche Lebensgemeinschaft gewollt war bzw. ist, muss auch der Zeitraum zwischen der Eheschliessung und dem angefochtenen Urteil eineinhalb Jahre später in die Beurteilung mit einbezogen werden. Dies hat das Verwaltungsgericht unterlassen. Es hat einzig gestützt auf die Umstände bis und mit Eheschliessung auf eine Ausländerrechtsehe geschlossen, ohne über die seitherige Entwicklung, insbesondere über das Bestehen einer echten Lebensgemeinschaft, Abklärungen zu treffen. Dadurch hat es nicht nur den rechtserheblichen Sachverhalt unvollständig abgeklärt, sondern überdies das rechtliche Gehör der Beschwerdeführer, die explizit beantragt hatten, in Bezug auf ihre Ehe befragt zu werden, verletzt.</w:t>
      </w:r>
    </w:p>
    <w:p>
      <w:r>
        <w:rPr>
          <w:b/>
        </w:rPr>
        <w:t>E. 4</w:t>
      </w:r>
    </w:p>
    <w:p>
      <w:r>
        <w:t>Die Verwaltungsgerichtsbeschwerde erweist sich nach dem Gesagten als begründet. Der angefochtene Entscheid ist daher aufzuheben und die Sache zu neuer Beurteilung an die Vorinstanz zurückzuweisen. Diese wird abzuklären haben, wie sich die Ehe des Beschwerdeführers seit ihrem Abschluss entwickelt hat. Sollte sich dabei ergeben, dass die Beschwerdeführer in dieser Zeit eine echte Lebensgemeinschaft aufrechterhalten haben, würde dies die für die Annahme einer Scheinehe sprechenden Indizien in einem andern Licht erscheinen lassen, selbst wenn berücksichtigt wird, dass ein harmonisches Eheleben auch nur vorgetäuscht werden kann. Sollten sich die Ehegatten inzwischen aber getrennt haben, würde dies umgekehrt den Schluss auf eine Scheinehe bestätigen. Bei diesem Verfahrensausgang sind keine Gerichtskosten zu erheben ( Art. 156 Abs. 2 OG ). Der Kanton Thurgau hat den Beschwerdeführern eine angemessene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